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7D8A80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486F1D">
        <w:t>5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B228D4" w:rsidRPr="008966C2">
        <w:rPr>
          <w:sz w:val="32"/>
          <w:szCs w:val="32"/>
        </w:rPr>
        <w:t>-1813646</w:t>
      </w:r>
    </w:p>
    <w:p w14:paraId="51C3D3E7" w14:textId="4BCD36A8" w:rsidR="00E90E49" w:rsidRPr="00CE0424" w:rsidRDefault="00486F1D" w:rsidP="00311702">
      <w:pPr>
        <w:pStyle w:val="3GPPHeader"/>
      </w:pPr>
      <w:r>
        <w:t>Spokane</w:t>
      </w:r>
      <w:r w:rsidR="0027144F" w:rsidRPr="00CE0BF7">
        <w:t xml:space="preserve">, </w:t>
      </w:r>
      <w:r>
        <w:t>WA, US</w:t>
      </w:r>
      <w:r w:rsidR="0027144F" w:rsidRPr="00CE0BF7">
        <w:t xml:space="preserve">, </w:t>
      </w:r>
      <w:r>
        <w:t>November</w:t>
      </w:r>
      <w:r w:rsidR="00CE0BF7" w:rsidRPr="00CE0BF7">
        <w:t xml:space="preserve"> </w:t>
      </w:r>
      <w:r>
        <w:t>12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 w:rsidR="00BB10A7">
        <w:t>1</w:t>
      </w:r>
      <w:r>
        <w:t>6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1DB21637" w:rsidR="00E90E49" w:rsidRDefault="00E90E49" w:rsidP="00311702">
      <w:pPr>
        <w:pStyle w:val="3GPPHeader"/>
        <w:rPr>
          <w:sz w:val="22"/>
          <w:szCs w:val="22"/>
          <w:highlight w:val="yellow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24450" w:rsidRPr="008966C2">
        <w:rPr>
          <w:sz w:val="22"/>
          <w:szCs w:val="22"/>
          <w:lang w:val="sv-FI"/>
        </w:rPr>
        <w:t>7.2.4.1.5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77EAB9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0495" w:rsidRPr="008966C2">
        <w:rPr>
          <w:sz w:val="22"/>
          <w:szCs w:val="22"/>
        </w:rPr>
        <w:t xml:space="preserve">System level evaluations of NR </w:t>
      </w:r>
      <w:r w:rsidR="00B14428">
        <w:rPr>
          <w:sz w:val="22"/>
          <w:szCs w:val="22"/>
        </w:rPr>
        <w:t xml:space="preserve">V2X </w:t>
      </w:r>
      <w:proofErr w:type="spellStart"/>
      <w:r w:rsidR="00A70495" w:rsidRPr="008966C2">
        <w:rPr>
          <w:sz w:val="22"/>
          <w:szCs w:val="22"/>
        </w:rPr>
        <w:t>sidelink</w:t>
      </w:r>
      <w:proofErr w:type="spellEnd"/>
    </w:p>
    <w:p w14:paraId="58D4CB54" w14:textId="6AE4C2B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966C2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650E3B65" w:rsidR="00477768" w:rsidRPr="00CE0424" w:rsidRDefault="0097080C" w:rsidP="00CE0424">
      <w:pPr>
        <w:pStyle w:val="BodyText"/>
      </w:pPr>
      <w:r>
        <w:t xml:space="preserve">In this paper we present </w:t>
      </w:r>
      <w:r w:rsidR="007F0B03">
        <w:t>system-level evaluation results</w:t>
      </w:r>
      <w:r w:rsidR="00AF12A7">
        <w:t xml:space="preserve"> for </w:t>
      </w:r>
      <w:proofErr w:type="spellStart"/>
      <w:r w:rsidR="00AF12A7">
        <w:t>sidelink</w:t>
      </w:r>
      <w:proofErr w:type="spellEnd"/>
      <w:r w:rsidR="00216037">
        <w:t xml:space="preserve">. Specific details on the PHY structures can be found in </w:t>
      </w:r>
      <w:r w:rsidR="004970B9">
        <w:fldChar w:fldCharType="begin"/>
      </w:r>
      <w:r w:rsidR="004970B9">
        <w:instrText xml:space="preserve"> REF _Ref528838717 \r \h </w:instrText>
      </w:r>
      <w:r w:rsidR="004970B9">
        <w:fldChar w:fldCharType="separate"/>
      </w:r>
      <w:r w:rsidR="008E27CE">
        <w:t>[1]</w:t>
      </w:r>
      <w:r w:rsidR="004970B9">
        <w:fldChar w:fldCharType="end"/>
      </w:r>
      <w:r w:rsidR="004970B9">
        <w:t xml:space="preserve">. The discussion on resource allocation aspects can be found in </w:t>
      </w:r>
      <w:r w:rsidR="004970B9">
        <w:fldChar w:fldCharType="begin"/>
      </w:r>
      <w:r w:rsidR="004970B9">
        <w:instrText xml:space="preserve"> REF _Ref528838722 \r \h </w:instrText>
      </w:r>
      <w:r w:rsidR="004970B9">
        <w:fldChar w:fldCharType="separate"/>
      </w:r>
      <w:r w:rsidR="008E27CE">
        <w:t>[2]</w:t>
      </w:r>
      <w:r w:rsidR="004970B9">
        <w:fldChar w:fldCharType="end"/>
      </w:r>
      <w:r w:rsidR="004970B9">
        <w:t>.</w:t>
      </w:r>
    </w:p>
    <w:p w14:paraId="020415C4" w14:textId="358C80E1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FB3820">
        <w:t>Resource allocation schemes</w:t>
      </w:r>
    </w:p>
    <w:p w14:paraId="0FFD0AB3" w14:textId="44BFAF63" w:rsidR="00387C16" w:rsidRPr="008966C2" w:rsidRDefault="00387C16" w:rsidP="008966C2">
      <w:pPr>
        <w:rPr>
          <w:rFonts w:cs="Arial"/>
        </w:rPr>
      </w:pPr>
    </w:p>
    <w:p w14:paraId="71C3A24B" w14:textId="7388A2B4" w:rsidR="00F63950" w:rsidRDefault="00113063" w:rsidP="00F63950">
      <w:pPr>
        <w:pStyle w:val="Heading2"/>
      </w:pPr>
      <w:r>
        <w:t>2.</w:t>
      </w:r>
      <w:r w:rsidR="007179FD">
        <w:t>1</w:t>
      </w:r>
      <w:r>
        <w:tab/>
      </w:r>
      <w:r w:rsidR="000476C2">
        <w:t>Listen-before</w:t>
      </w:r>
      <w:r w:rsidR="00397F96">
        <w:t>-</w:t>
      </w:r>
      <w:r w:rsidR="000476C2">
        <w:t>talk</w:t>
      </w:r>
    </w:p>
    <w:p w14:paraId="588F681C" w14:textId="38B50D26" w:rsidR="00CF13A0" w:rsidRDefault="00A30FDE" w:rsidP="00CE0424">
      <w:pPr>
        <w:pStyle w:val="BodyText"/>
      </w:pPr>
      <w:r>
        <w:t xml:space="preserve">During RAN1#94 and RAN1#94bis, there were extensive discussions on the suitability of </w:t>
      </w:r>
      <w:r w:rsidR="00397F96">
        <w:t>LBT-like procedures for serving eV2X traffic</w:t>
      </w:r>
      <w:r w:rsidR="00B130AA">
        <w:t xml:space="preserve">. </w:t>
      </w:r>
      <w:r w:rsidR="00017AB6">
        <w:t xml:space="preserve">In this section, we provide some insights into the performance of LBT-like procedures </w:t>
      </w:r>
      <w:r w:rsidR="00650451">
        <w:t xml:space="preserve">and make some observations about the desirable properties of the RA procedure. </w:t>
      </w:r>
    </w:p>
    <w:p w14:paraId="62EAAEB9" w14:textId="6AAEDC06" w:rsidR="00AA7B4F" w:rsidRDefault="00AA7B4F" w:rsidP="00CE0424">
      <w:pPr>
        <w:pStyle w:val="BodyText"/>
      </w:pPr>
      <w:r>
        <w:t>We have evaluated the performance of the following LBT-like procedure:</w:t>
      </w:r>
    </w:p>
    <w:p w14:paraId="0A7C63E1" w14:textId="4AA8B2DB" w:rsidR="006C2624" w:rsidRDefault="006C2624" w:rsidP="005B40EF">
      <w:pPr>
        <w:pStyle w:val="BodyText"/>
        <w:numPr>
          <w:ilvl w:val="0"/>
          <w:numId w:val="23"/>
        </w:numPr>
      </w:pPr>
      <w:r>
        <w:t>The channel is divided into multiple sub-bands or sub-channels.</w:t>
      </w:r>
    </w:p>
    <w:p w14:paraId="2A7A076E" w14:textId="123F2565" w:rsidR="005964F1" w:rsidRDefault="005964F1" w:rsidP="00547E0B">
      <w:pPr>
        <w:pStyle w:val="BodyText"/>
        <w:numPr>
          <w:ilvl w:val="0"/>
          <w:numId w:val="23"/>
        </w:numPr>
      </w:pPr>
      <w:r>
        <w:t xml:space="preserve">The transmission of a UE </w:t>
      </w:r>
      <w:r w:rsidR="006C2624">
        <w:t>is restricted to a single sub-band</w:t>
      </w:r>
      <w:r w:rsidR="00547E0B">
        <w:t xml:space="preserve"> but may consists </w:t>
      </w:r>
      <w:r>
        <w:t xml:space="preserve">of an aggregation of multiple </w:t>
      </w:r>
      <w:r w:rsidR="00547E0B">
        <w:t>slots</w:t>
      </w:r>
      <w:r>
        <w:t xml:space="preserve">. We consider two </w:t>
      </w:r>
      <w:r w:rsidR="002F0152">
        <w:t>al</w:t>
      </w:r>
      <w:r w:rsidR="00B25551">
        <w:t>ternative PHY layer structures</w:t>
      </w:r>
      <w:r>
        <w:t>:</w:t>
      </w:r>
    </w:p>
    <w:p w14:paraId="35448370" w14:textId="69F9F7CD" w:rsidR="00933288" w:rsidRDefault="00B25551" w:rsidP="00933288">
      <w:pPr>
        <w:pStyle w:val="BodyText"/>
        <w:numPr>
          <w:ilvl w:val="1"/>
          <w:numId w:val="23"/>
        </w:numPr>
      </w:pPr>
      <w:r>
        <w:t xml:space="preserve">Alt 1. </w:t>
      </w:r>
      <w:r w:rsidR="00933288">
        <w:t>The first slot in the bundle contains PSCCH (carrying SCI) and PSSCH. The remaining slots carry PSSCH only.</w:t>
      </w:r>
    </w:p>
    <w:p w14:paraId="4EA75709" w14:textId="57CF80E2" w:rsidR="00933288" w:rsidRPr="00B25551" w:rsidRDefault="00B25551" w:rsidP="00933288">
      <w:pPr>
        <w:pStyle w:val="BodyText"/>
        <w:numPr>
          <w:ilvl w:val="1"/>
          <w:numId w:val="23"/>
        </w:numPr>
      </w:pPr>
      <w:r w:rsidRPr="00B25551">
        <w:t xml:space="preserve">Alt 2. </w:t>
      </w:r>
      <w:r w:rsidR="00933288" w:rsidRPr="00B25551">
        <w:t>All the slots in the bund</w:t>
      </w:r>
      <w:r w:rsidR="00945797">
        <w:t>le</w:t>
      </w:r>
      <w:r w:rsidR="00933288" w:rsidRPr="00B25551">
        <w:t xml:space="preserve"> contain </w:t>
      </w:r>
      <w:r w:rsidR="00DD133A" w:rsidRPr="00B25551">
        <w:t>PSCCH (carrying SCI) and PSSCH</w:t>
      </w:r>
      <w:r w:rsidR="00EF5BD9" w:rsidRPr="00B25551">
        <w:t>.</w:t>
      </w:r>
    </w:p>
    <w:p w14:paraId="025D809E" w14:textId="194DEF59" w:rsidR="00C43373" w:rsidRPr="00B25551" w:rsidRDefault="00C43373" w:rsidP="00C43373">
      <w:pPr>
        <w:pStyle w:val="BodyText"/>
        <w:numPr>
          <w:ilvl w:val="2"/>
          <w:numId w:val="23"/>
        </w:numPr>
      </w:pPr>
      <w:r w:rsidRPr="00B25551">
        <w:t xml:space="preserve">It is </w:t>
      </w:r>
      <w:r w:rsidR="00EF5BD9" w:rsidRPr="00B25551">
        <w:t>enough</w:t>
      </w:r>
      <w:r w:rsidRPr="00B25551">
        <w:t xml:space="preserve"> to decode PSCCH </w:t>
      </w:r>
      <w:r w:rsidR="00D5647C" w:rsidRPr="00B25551">
        <w:t xml:space="preserve">carried in a single slot </w:t>
      </w:r>
      <w:r w:rsidRPr="00B25551">
        <w:t>to be able to process</w:t>
      </w:r>
      <w:r w:rsidR="00D5647C" w:rsidRPr="00B25551">
        <w:t xml:space="preserve"> the PSSCH in all the </w:t>
      </w:r>
      <w:r w:rsidR="00833E82" w:rsidRPr="00B25551">
        <w:t xml:space="preserve">future </w:t>
      </w:r>
      <w:r w:rsidR="00D5647C" w:rsidRPr="00B25551">
        <w:t>slots in the bundle</w:t>
      </w:r>
      <w:r w:rsidR="00833E82" w:rsidRPr="00B25551">
        <w:t xml:space="preserve">. For example, if a bundle consists of </w:t>
      </w:r>
      <w:r w:rsidR="004E7AA9" w:rsidRPr="00B25551">
        <w:t>N</w:t>
      </w:r>
      <w:r w:rsidR="00833E82" w:rsidRPr="00B25551">
        <w:t xml:space="preserve"> slots, a receiver decoding PSCCH from </w:t>
      </w:r>
      <w:r w:rsidR="004E7AA9" w:rsidRPr="00B25551">
        <w:t xml:space="preserve">in the </w:t>
      </w:r>
      <w:proofErr w:type="spellStart"/>
      <w:r w:rsidR="004E7AA9" w:rsidRPr="00B25551">
        <w:t>X</w:t>
      </w:r>
      <w:r w:rsidR="004E7AA9" w:rsidRPr="00B25551">
        <w:rPr>
          <w:vertAlign w:val="superscript"/>
        </w:rPr>
        <w:t>th</w:t>
      </w:r>
      <w:proofErr w:type="spellEnd"/>
      <w:r w:rsidR="004E7AA9" w:rsidRPr="00B25551">
        <w:t xml:space="preserve"> (X</w:t>
      </w:r>
      <w:r w:rsidR="00125F29" w:rsidRPr="00B25551">
        <w:t xml:space="preserve"> </w:t>
      </w:r>
      <w:r w:rsidR="004E7AA9" w:rsidRPr="00B25551">
        <w:t>=</w:t>
      </w:r>
      <w:r w:rsidR="00125F29" w:rsidRPr="00B25551">
        <w:t xml:space="preserve"> </w:t>
      </w:r>
      <w:r w:rsidR="004E7AA9" w:rsidRPr="00B25551">
        <w:t xml:space="preserve">{1,2,…,N}) </w:t>
      </w:r>
      <w:r w:rsidR="00833E82" w:rsidRPr="00B25551">
        <w:t>can</w:t>
      </w:r>
      <w:r w:rsidR="004E7AA9" w:rsidRPr="00B25551">
        <w:t xml:space="preserve"> process the PSSCH contributions from slots {X,…,N}.</w:t>
      </w:r>
    </w:p>
    <w:p w14:paraId="5219C106" w14:textId="3E3D762D" w:rsidR="00547E0B" w:rsidRDefault="00547E0B" w:rsidP="00547E0B">
      <w:pPr>
        <w:pStyle w:val="BodyText"/>
        <w:numPr>
          <w:ilvl w:val="1"/>
          <w:numId w:val="23"/>
        </w:numPr>
      </w:pPr>
      <w:r>
        <w:t xml:space="preserve">The actual number of slots is </w:t>
      </w:r>
      <w:r w:rsidR="00B356B2">
        <w:t>selected to ensure that a minimum (transmit) energy per information bit is used</w:t>
      </w:r>
      <w:r w:rsidR="002B7C3F">
        <w:t xml:space="preserve"> with the additional constraint that the coding rate must be below 0.75. </w:t>
      </w:r>
      <w:r w:rsidR="00B71078">
        <w:t>E</w:t>
      </w:r>
      <w:r w:rsidR="00D3563F">
        <w:t xml:space="preserve">nergy per information bit </w:t>
      </w:r>
      <w:r w:rsidR="00B71078">
        <w:t xml:space="preserve">considerations and values are discussed </w:t>
      </w:r>
      <w:r w:rsidR="00D3563F">
        <w:t xml:space="preserve">in </w:t>
      </w:r>
      <w:r w:rsidR="00D3563F">
        <w:fldChar w:fldCharType="begin"/>
      </w:r>
      <w:r w:rsidR="00D3563F">
        <w:instrText xml:space="preserve"> REF _Ref528838722 \r \h </w:instrText>
      </w:r>
      <w:r w:rsidR="00D3563F">
        <w:fldChar w:fldCharType="separate"/>
      </w:r>
      <w:r w:rsidR="008E27CE">
        <w:t>[2]</w:t>
      </w:r>
      <w:r w:rsidR="00D3563F">
        <w:fldChar w:fldCharType="end"/>
      </w:r>
      <w:r w:rsidR="00D3563F">
        <w:t>.</w:t>
      </w:r>
    </w:p>
    <w:p w14:paraId="7CA2AD9C" w14:textId="36409911" w:rsidR="00DD133A" w:rsidRDefault="00DD133A" w:rsidP="005B40EF">
      <w:pPr>
        <w:pStyle w:val="BodyText"/>
        <w:numPr>
          <w:ilvl w:val="0"/>
          <w:numId w:val="23"/>
        </w:numPr>
      </w:pPr>
      <w:r>
        <w:t>SCI includes reservation information</w:t>
      </w:r>
      <w:r w:rsidR="00EF5BD9">
        <w:t xml:space="preserve"> for all </w:t>
      </w:r>
      <w:r w:rsidR="001C5CB6">
        <w:t>(future) slots</w:t>
      </w:r>
      <w:r w:rsidR="00EF5BD9">
        <w:t xml:space="preserve"> </w:t>
      </w:r>
      <w:r w:rsidR="00E33409">
        <w:t xml:space="preserve">in the bundle. </w:t>
      </w:r>
    </w:p>
    <w:p w14:paraId="513BB277" w14:textId="742566A5" w:rsidR="005B40EF" w:rsidRDefault="005B40EF" w:rsidP="005B40EF">
      <w:pPr>
        <w:pStyle w:val="BodyText"/>
        <w:numPr>
          <w:ilvl w:val="0"/>
          <w:numId w:val="23"/>
        </w:numPr>
      </w:pPr>
      <w:r>
        <w:t xml:space="preserve">UEs </w:t>
      </w:r>
      <w:r w:rsidR="006403C1">
        <w:t>continuously sense the transmission medium, decoding the SCIs transmitted by other UEs.</w:t>
      </w:r>
      <w:r w:rsidR="00DB318E">
        <w:t xml:space="preserve"> SCI decoding is used to conclude </w:t>
      </w:r>
      <w:r w:rsidR="00110F81">
        <w:t xml:space="preserve">whether the channel is idle or busy and </w:t>
      </w:r>
      <w:r w:rsidR="001A23B2">
        <w:t>in the latter case, for how long</w:t>
      </w:r>
      <w:r w:rsidR="00110F81">
        <w:t>.</w:t>
      </w:r>
    </w:p>
    <w:p w14:paraId="3C5758ED" w14:textId="6E7D1FB7" w:rsidR="00196620" w:rsidRDefault="001A23B2" w:rsidP="005B40EF">
      <w:pPr>
        <w:pStyle w:val="BodyText"/>
        <w:numPr>
          <w:ilvl w:val="0"/>
          <w:numId w:val="23"/>
        </w:numPr>
      </w:pPr>
      <w:r>
        <w:t xml:space="preserve">After a packet arrives at the TX buffer, the </w:t>
      </w:r>
      <w:r w:rsidR="004263CD">
        <w:t xml:space="preserve">UE </w:t>
      </w:r>
      <w:r w:rsidR="00196620">
        <w:t>performs the listen-before-talk (LBT) assessment of the channel:</w:t>
      </w:r>
    </w:p>
    <w:p w14:paraId="609956D7" w14:textId="2944A330" w:rsidR="00363CDD" w:rsidRDefault="00363CDD" w:rsidP="00363CDD">
      <w:pPr>
        <w:pStyle w:val="BodyText"/>
        <w:numPr>
          <w:ilvl w:val="1"/>
          <w:numId w:val="23"/>
        </w:numPr>
      </w:pPr>
      <w:r>
        <w:lastRenderedPageBreak/>
        <w:t>If one or more sub-bands are idle in the upcoming slot, the UE selects one at random and starts transmitting.</w:t>
      </w:r>
    </w:p>
    <w:p w14:paraId="49352235" w14:textId="71AD971E" w:rsidR="00363CDD" w:rsidRDefault="00363CDD" w:rsidP="00363CDD">
      <w:pPr>
        <w:pStyle w:val="BodyText"/>
        <w:numPr>
          <w:ilvl w:val="1"/>
          <w:numId w:val="23"/>
        </w:numPr>
      </w:pPr>
      <w:r>
        <w:t xml:space="preserve">If </w:t>
      </w:r>
      <w:r w:rsidR="00FF78BE">
        <w:t>all sub-bands are busy</w:t>
      </w:r>
      <w:r w:rsidR="00397194">
        <w:t xml:space="preserve"> but the packet can tolerate som</w:t>
      </w:r>
      <w:r w:rsidR="003C3DE0">
        <w:t>e delay</w:t>
      </w:r>
      <w:r w:rsidR="00FF78BE">
        <w:t xml:space="preserve">, the UE enters </w:t>
      </w:r>
      <w:r w:rsidR="00C0530E">
        <w:t>backs off for some random time.</w:t>
      </w:r>
    </w:p>
    <w:p w14:paraId="719A248F" w14:textId="7B31A4B6" w:rsidR="00C0530E" w:rsidRDefault="00C0530E" w:rsidP="00C0530E">
      <w:pPr>
        <w:pStyle w:val="BodyText"/>
        <w:numPr>
          <w:ilvl w:val="2"/>
          <w:numId w:val="23"/>
        </w:numPr>
      </w:pPr>
      <w:r>
        <w:t>During back-off, the UE continues to monitor the channel.</w:t>
      </w:r>
    </w:p>
    <w:p w14:paraId="3A88E170" w14:textId="10022460" w:rsidR="00C0530E" w:rsidRDefault="00C0530E" w:rsidP="00C0530E">
      <w:pPr>
        <w:pStyle w:val="BodyText"/>
        <w:numPr>
          <w:ilvl w:val="2"/>
          <w:numId w:val="23"/>
        </w:numPr>
      </w:pPr>
      <w:r>
        <w:t>Once back-off is completed</w:t>
      </w:r>
      <w:r w:rsidR="00196620">
        <w:t>, the UE repeats the LBT assessment of the channel</w:t>
      </w:r>
      <w:r w:rsidR="003C3DE0">
        <w:t>.</w:t>
      </w:r>
    </w:p>
    <w:p w14:paraId="3D3A2050" w14:textId="134BE774" w:rsidR="003C3DE0" w:rsidRDefault="003C3DE0" w:rsidP="003C3DE0">
      <w:pPr>
        <w:pStyle w:val="BodyText"/>
        <w:numPr>
          <w:ilvl w:val="1"/>
          <w:numId w:val="23"/>
        </w:numPr>
      </w:pPr>
      <w:r>
        <w:t xml:space="preserve">If all the sub-bands are busy but the packet cannot tolerate further delays (e.g., because the latency budget is exhausted), the UE selects one sub-band at random and starts transmitting. </w:t>
      </w:r>
    </w:p>
    <w:p w14:paraId="45063A88" w14:textId="3B21CB50" w:rsidR="00AA7B4F" w:rsidRDefault="00D1420D" w:rsidP="00CE0424">
      <w:pPr>
        <w:pStyle w:val="BodyText"/>
      </w:pPr>
      <w:r>
        <w:t>T</w:t>
      </w:r>
      <w:r w:rsidR="00125F29">
        <w:t xml:space="preserve">his </w:t>
      </w:r>
      <w:r w:rsidR="003D23F9">
        <w:t>realization of LBT captures the essential aspects of the proposals by multiple companies.</w:t>
      </w:r>
    </w:p>
    <w:p w14:paraId="45120C62" w14:textId="3226018C" w:rsidR="003D23F9" w:rsidRDefault="00F50687" w:rsidP="00983CB4">
      <w:pPr>
        <w:pStyle w:val="BodyText"/>
      </w:pPr>
      <w:r>
        <w:t xml:space="preserve">For the evaluations we </w:t>
      </w:r>
      <w:r w:rsidR="002460CE">
        <w:t xml:space="preserve">have considered </w:t>
      </w:r>
      <w:r w:rsidR="009115FD">
        <w:t xml:space="preserve">the </w:t>
      </w:r>
      <w:r w:rsidR="00C9203D">
        <w:t>broadcast</w:t>
      </w:r>
      <w:r w:rsidR="009115FD">
        <w:t xml:space="preserve"> profile </w:t>
      </w:r>
      <w:r w:rsidR="00D91E2A">
        <w:t>with aperiodic traffic</w:t>
      </w:r>
      <w:r w:rsidR="00856C2B">
        <w:t xml:space="preserve"> </w:t>
      </w:r>
      <w:r w:rsidR="009115FD">
        <w:t>agreed in RAN1#94bis</w:t>
      </w:r>
      <w:r w:rsidR="00500119">
        <w:t>,</w:t>
      </w:r>
      <w:r w:rsidR="00484771">
        <w:t xml:space="preserve"> but many of the observations made in the following hold </w:t>
      </w:r>
      <w:r w:rsidR="008D1E88">
        <w:t xml:space="preserve">also for the other </w:t>
      </w:r>
      <w:r w:rsidR="00CF07B1">
        <w:t>profiles</w:t>
      </w:r>
      <w:r w:rsidR="008D1E88">
        <w:t xml:space="preserve"> and traffic models </w:t>
      </w:r>
      <w:r w:rsidR="00B41718">
        <w:t>in TR 37.885.</w:t>
      </w:r>
      <w:r w:rsidR="008C2365">
        <w:t xml:space="preserve"> </w:t>
      </w:r>
      <w:r w:rsidR="00CF07B1">
        <w:t>We present results for the highway layout (</w:t>
      </w:r>
      <w:r w:rsidR="00CF07B1">
        <w:fldChar w:fldCharType="begin"/>
      </w:r>
      <w:r w:rsidR="00CF07B1">
        <w:instrText xml:space="preserve"> REF _Ref528784730 \h </w:instrText>
      </w:r>
      <w:r w:rsidR="00CF07B1"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1</w:t>
      </w:r>
      <w:r w:rsidR="00CF07B1">
        <w:fldChar w:fldCharType="end"/>
      </w:r>
      <w:r w:rsidR="00CF07B1">
        <w:t>,</w:t>
      </w:r>
      <w:r w:rsidR="008768BE">
        <w:t xml:space="preserve"> </w:t>
      </w:r>
      <w:r w:rsidR="00CF07B1">
        <w:fldChar w:fldCharType="begin"/>
      </w:r>
      <w:r w:rsidR="00CF07B1">
        <w:instrText xml:space="preserve"> REF _Ref528832262 \h </w:instrText>
      </w:r>
      <w:r w:rsidR="00CF07B1"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2</w:t>
      </w:r>
      <w:r w:rsidR="00CF07B1">
        <w:fldChar w:fldCharType="end"/>
      </w:r>
      <w:r w:rsidR="00CF07B1">
        <w:t xml:space="preserve">, and </w:t>
      </w:r>
      <w:r w:rsidR="00CF07B1">
        <w:fldChar w:fldCharType="begin"/>
      </w:r>
      <w:r w:rsidR="00CF07B1">
        <w:instrText xml:space="preserve"> REF _Ref528832263 \h </w:instrText>
      </w:r>
      <w:r w:rsidR="00CF07B1"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3</w:t>
      </w:r>
      <w:r w:rsidR="00CF07B1">
        <w:fldChar w:fldCharType="end"/>
      </w:r>
      <w:r w:rsidR="00CF07B1">
        <w:t>) followed by results for the urban layout (</w:t>
      </w:r>
      <w:r w:rsidR="00CF07B1">
        <w:fldChar w:fldCharType="begin"/>
      </w:r>
      <w:r w:rsidR="00CF07B1">
        <w:instrText xml:space="preserve"> REF _Ref528922561 \h </w:instrText>
      </w:r>
      <w:r w:rsidR="00CF07B1"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4</w:t>
      </w:r>
      <w:r w:rsidR="00CF07B1">
        <w:fldChar w:fldCharType="end"/>
      </w:r>
      <w:r w:rsidR="00CF07B1">
        <w:t xml:space="preserve"> and </w:t>
      </w:r>
      <w:r w:rsidR="00CF07B1">
        <w:fldChar w:fldCharType="begin"/>
      </w:r>
      <w:r w:rsidR="00CF07B1">
        <w:instrText xml:space="preserve"> REF _Ref528922562 \h </w:instrText>
      </w:r>
      <w:r w:rsidR="00CF07B1"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5</w:t>
      </w:r>
      <w:r w:rsidR="00CF07B1">
        <w:fldChar w:fldCharType="end"/>
      </w:r>
      <w:r w:rsidR="00CF07B1">
        <w:t>).</w:t>
      </w:r>
      <w:r w:rsidR="00983CB4">
        <w:t xml:space="preserve"> Detailed</w:t>
      </w:r>
      <w:r w:rsidR="008C2365">
        <w:t xml:space="preserve"> evaluation assumptions </w:t>
      </w:r>
      <w:r w:rsidR="00983CB4">
        <w:t xml:space="preserve">can be found </w:t>
      </w:r>
      <w:r w:rsidR="008C2365">
        <w:t>in the appendix.</w:t>
      </w:r>
    </w:p>
    <w:p w14:paraId="433BE39C" w14:textId="27BA2601" w:rsidR="00F43AC1" w:rsidRDefault="00F43AC1" w:rsidP="00AB4256">
      <w:pPr>
        <w:pStyle w:val="BodyText"/>
      </w:pPr>
      <w:r>
        <w:fldChar w:fldCharType="begin"/>
      </w:r>
      <w:r>
        <w:instrText xml:space="preserve"> REF _Ref528784730 \h </w:instrText>
      </w:r>
      <w:r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1</w:t>
      </w:r>
      <w:r>
        <w:fldChar w:fldCharType="end"/>
      </w:r>
      <w:r>
        <w:t xml:space="preserve"> show</w:t>
      </w:r>
      <w:r w:rsidR="00683112">
        <w:t>s</w:t>
      </w:r>
      <w:r>
        <w:t xml:space="preserve"> the PRR per</w:t>
      </w:r>
      <w:r w:rsidR="00C23D77">
        <w:t xml:space="preserve">formance for different number of sub-bands. </w:t>
      </w:r>
      <w:r w:rsidR="00DE5B17">
        <w:t xml:space="preserve">Clearly, some degree of frequency multiplexing is necessary </w:t>
      </w:r>
      <w:r w:rsidR="00214C56">
        <w:t xml:space="preserve">to ensure availability of resources for transmission. Otherwise, </w:t>
      </w:r>
      <w:r w:rsidR="00623195">
        <w:t>the back</w:t>
      </w:r>
      <w:r w:rsidR="00F32BEF">
        <w:t>-</w:t>
      </w:r>
      <w:r w:rsidR="00623195">
        <w:t xml:space="preserve">off procedure </w:t>
      </w:r>
      <w:r w:rsidR="00F32BEF">
        <w:t>exhausts the latency budget of the packet and the UE is forced to use resources sensed to be busy.</w:t>
      </w:r>
      <w:r w:rsidR="00A110CF">
        <w:t xml:space="preserve"> Although it is not shown in the figure, having too many sub-channels </w:t>
      </w:r>
      <w:r w:rsidR="00683112">
        <w:t>also degrades performance due to increased IBE as well as missed transmissions due to half-duplex constraints.</w:t>
      </w:r>
    </w:p>
    <w:p w14:paraId="57EE7C70" w14:textId="552EBC22" w:rsidR="005D04AB" w:rsidRDefault="00F43AC1" w:rsidP="00AB4256">
      <w:pPr>
        <w:pStyle w:val="BodyText"/>
      </w:pPr>
      <w:r>
        <w:fldChar w:fldCharType="begin"/>
      </w:r>
      <w:r>
        <w:instrText xml:space="preserve"> REF _Ref528832262 \h </w:instrText>
      </w:r>
      <w:r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2</w:t>
      </w:r>
      <w:r>
        <w:fldChar w:fldCharType="end"/>
      </w:r>
      <w:r w:rsidR="00683112">
        <w:t xml:space="preserve"> shows the PRR performance for different </w:t>
      </w:r>
      <w:r w:rsidR="0068002F">
        <w:t xml:space="preserve">levels of resource provisioning (i.e., when the UE aims at different energy per bit values). As we can see, </w:t>
      </w:r>
      <w:r w:rsidR="005128F4">
        <w:t xml:space="preserve">increasing the energy per bit beyond a certain point is counterproductive. The reason is that UEs are forced to aggregate larger number of slots, increasing channel occupancy, interference, and exposing themselves to </w:t>
      </w:r>
      <w:r w:rsidR="00305C33">
        <w:t>half-duplex losses more often.</w:t>
      </w:r>
      <w:r w:rsidR="00E25B7E">
        <w:t xml:space="preserve"> In addition, in this figure we show the performance w</w:t>
      </w:r>
      <w:r w:rsidR="00BF1D90">
        <w:t xml:space="preserve">ith different number of PSCCH transmission per bundle. It seems that transmitting </w:t>
      </w:r>
      <w:r w:rsidR="00A80E67">
        <w:t xml:space="preserve">PSCCH in every slot is not beneficial as the </w:t>
      </w:r>
      <w:r w:rsidR="005D04AB">
        <w:t>gains in channel occupancy assessment cannot offset the losses due the increase</w:t>
      </w:r>
      <w:r w:rsidR="00EF635F">
        <w:t>d system load (i.e., resources used for transmission of the multiple PSCCHs).</w:t>
      </w:r>
      <w:r w:rsidR="007647B4">
        <w:t xml:space="preserve"> In other words, </w:t>
      </w:r>
      <w:r w:rsidR="006A2C76">
        <w:t xml:space="preserve">from a system-performance point of view, </w:t>
      </w:r>
      <w:r w:rsidR="00351356">
        <w:t>having a</w:t>
      </w:r>
      <w:r w:rsidR="007647B4">
        <w:t xml:space="preserve"> single but very reliable transmission of PSCCH is </w:t>
      </w:r>
      <w:r w:rsidR="00351356">
        <w:t>better than having multiple transmissions of PSCCH</w:t>
      </w:r>
      <w:r w:rsidR="006A2C76">
        <w:t>.</w:t>
      </w:r>
    </w:p>
    <w:p w14:paraId="1CCC04B6" w14:textId="40A6B39D" w:rsidR="00EB4AA7" w:rsidRDefault="00F43AC1" w:rsidP="00AB4256">
      <w:pPr>
        <w:pStyle w:val="BodyText"/>
      </w:pPr>
      <w:r>
        <w:fldChar w:fldCharType="begin"/>
      </w:r>
      <w:r>
        <w:instrText xml:space="preserve"> REF _Ref528832263 \h </w:instrText>
      </w:r>
      <w:r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3</w:t>
      </w:r>
      <w:r>
        <w:fldChar w:fldCharType="end"/>
      </w:r>
      <w:r w:rsidR="00EF635F">
        <w:t xml:space="preserve"> show</w:t>
      </w:r>
      <w:r w:rsidR="007C70EC">
        <w:t>s</w:t>
      </w:r>
      <w:r w:rsidR="00EF635F">
        <w:t xml:space="preserve"> </w:t>
      </w:r>
      <w:r w:rsidR="007C70EC">
        <w:t>the latency performance for different number of sub-bands and energy per information bit.</w:t>
      </w:r>
      <w:r w:rsidR="00AB5417">
        <w:t xml:space="preserve"> Latency is defined here as the time between the packet arrival time </w:t>
      </w:r>
      <w:r w:rsidR="008C1B40">
        <w:t xml:space="preserve">and the time of successful reception. Note that this figure does not include </w:t>
      </w:r>
      <w:r w:rsidR="00A8775E">
        <w:t>unsuccessful packet transmissions (i.e., with infinite latency). The most important observation to make is that</w:t>
      </w:r>
      <w:r w:rsidR="001F45BC">
        <w:t xml:space="preserve">, even in low-to-moderate loads, </w:t>
      </w:r>
      <w:r w:rsidR="006B00B7">
        <w:t xml:space="preserve">LBT channel access cannot </w:t>
      </w:r>
      <w:r w:rsidR="0013549A">
        <w:t xml:space="preserve">guarantee very low latencies. </w:t>
      </w:r>
      <w:r w:rsidR="00EB4AA7">
        <w:t xml:space="preserve">When it comes to the impact on latency of sub-band configuration, we observe </w:t>
      </w:r>
      <w:r w:rsidR="00531153">
        <w:t xml:space="preserve">that </w:t>
      </w:r>
      <w:r w:rsidR="00827918">
        <w:t>it is not des</w:t>
      </w:r>
      <w:r w:rsidR="00BF1521">
        <w:t>ir</w:t>
      </w:r>
      <w:r w:rsidR="00827918">
        <w:t xml:space="preserve">able to have </w:t>
      </w:r>
      <w:r w:rsidR="00993FFE">
        <w:t xml:space="preserve">very few sub-bands </w:t>
      </w:r>
      <w:r w:rsidR="00827918">
        <w:t>(</w:t>
      </w:r>
      <w:r w:rsidR="00BF1521">
        <w:t xml:space="preserve">i.e., long channel access latency but short transmission time) </w:t>
      </w:r>
      <w:r w:rsidR="00993FFE">
        <w:t>nor too many</w:t>
      </w:r>
      <w:r w:rsidR="00BF1521">
        <w:t xml:space="preserve"> of them (i.e., short channel access latency but long transmission time).</w:t>
      </w:r>
      <w:r w:rsidR="006333D2">
        <w:t xml:space="preserve"> In addition, here we also see that excessive use of channel resources (e.g., by targeting too high </w:t>
      </w:r>
      <w:r w:rsidR="00C96A3F">
        <w:t>an energy-per-bit value) is undesirable.</w:t>
      </w:r>
    </w:p>
    <w:p w14:paraId="2322FAB9" w14:textId="0ACE953D" w:rsidR="0047588B" w:rsidRDefault="0047588B" w:rsidP="00AB4256">
      <w:pPr>
        <w:pStyle w:val="BodyText"/>
      </w:pPr>
      <w:r>
        <w:fldChar w:fldCharType="begin"/>
      </w:r>
      <w:r>
        <w:instrText xml:space="preserve"> REF _Ref528922561 \h </w:instrText>
      </w:r>
      <w:r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_Ref528922562 \h </w:instrText>
      </w:r>
      <w:r>
        <w:fldChar w:fldCharType="separate"/>
      </w:r>
      <w:r w:rsidR="008E27CE" w:rsidRPr="00BE2980">
        <w:rPr>
          <w:rFonts w:cs="Arial"/>
        </w:rPr>
        <w:t xml:space="preserve">Figure </w:t>
      </w:r>
      <w:r w:rsidR="008E27CE">
        <w:rPr>
          <w:rFonts w:cs="Arial"/>
          <w:noProof/>
        </w:rPr>
        <w:t>5</w:t>
      </w:r>
      <w:r>
        <w:fldChar w:fldCharType="end"/>
      </w:r>
      <w:r>
        <w:t xml:space="preserve"> show similar results for </w:t>
      </w:r>
      <w:r w:rsidR="006A020C">
        <w:t>t</w:t>
      </w:r>
      <w:r w:rsidR="00D5346E">
        <w:t xml:space="preserve">he urban layout. Although the preceding observations still apply, the performance </w:t>
      </w:r>
      <w:r w:rsidR="00FA2013">
        <w:t xml:space="preserve">is </w:t>
      </w:r>
      <w:r w:rsidR="0059379D">
        <w:t xml:space="preserve">very low (both for PRR and latency), </w:t>
      </w:r>
      <w:r w:rsidR="00F855A5">
        <w:t>indicating that LBT sol</w:t>
      </w:r>
      <w:r w:rsidR="004F529C">
        <w:t xml:space="preserve">utions alone are not suitable for NR </w:t>
      </w:r>
      <w:proofErr w:type="spellStart"/>
      <w:r w:rsidR="004F529C">
        <w:t>sidelink</w:t>
      </w:r>
      <w:proofErr w:type="spellEnd"/>
      <w:r w:rsidR="004F529C">
        <w:t>.</w:t>
      </w:r>
    </w:p>
    <w:p w14:paraId="1FF9F241" w14:textId="4DCA3D89" w:rsidR="009B6A81" w:rsidRDefault="009B6A81" w:rsidP="00D75AA0">
      <w:pPr>
        <w:pStyle w:val="BodyText"/>
        <w:ind w:left="360"/>
      </w:pPr>
    </w:p>
    <w:p w14:paraId="1E9AA075" w14:textId="6FEE23AB" w:rsidR="002B4B90" w:rsidRDefault="00E542B6" w:rsidP="002B4B90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3AAB995F" wp14:editId="0F30365F">
            <wp:extent cx="5330825" cy="3998118"/>
            <wp:effectExtent l="0" t="0" r="3175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ricabl\Documents\MATLAB\V2V\FIKA5G\branches\ERICABL_181021_dev_sidelink_main\results\templates\Figure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99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13921" w14:textId="1ED2FA52" w:rsidR="003D23F9" w:rsidRPr="00BE2980" w:rsidRDefault="002B4B90" w:rsidP="002B4B90">
      <w:pPr>
        <w:pStyle w:val="Caption"/>
        <w:jc w:val="center"/>
        <w:rPr>
          <w:rFonts w:ascii="Arial" w:hAnsi="Arial" w:cs="Arial"/>
        </w:rPr>
      </w:pPr>
      <w:bookmarkStart w:id="2" w:name="_Ref528784730"/>
      <w:r w:rsidRPr="00BE2980">
        <w:rPr>
          <w:rFonts w:ascii="Arial" w:hAnsi="Arial" w:cs="Arial"/>
        </w:rPr>
        <w:t xml:space="preserve">Figure </w:t>
      </w:r>
      <w:r w:rsidR="001315D8" w:rsidRPr="00BE2980">
        <w:rPr>
          <w:rFonts w:ascii="Arial" w:hAnsi="Arial" w:cs="Arial"/>
          <w:noProof/>
        </w:rPr>
        <w:fldChar w:fldCharType="begin"/>
      </w:r>
      <w:r w:rsidR="001315D8" w:rsidRPr="00BE2980">
        <w:rPr>
          <w:rFonts w:ascii="Arial" w:hAnsi="Arial" w:cs="Arial"/>
          <w:noProof/>
        </w:rPr>
        <w:instrText xml:space="preserve"> SEQ Figure \* ARABIC </w:instrText>
      </w:r>
      <w:r w:rsidR="001315D8" w:rsidRPr="00BE2980">
        <w:rPr>
          <w:rFonts w:ascii="Arial" w:hAnsi="Arial" w:cs="Arial"/>
          <w:noProof/>
        </w:rPr>
        <w:fldChar w:fldCharType="separate"/>
      </w:r>
      <w:r w:rsidR="008E27CE">
        <w:rPr>
          <w:rFonts w:ascii="Arial" w:hAnsi="Arial" w:cs="Arial"/>
          <w:noProof/>
        </w:rPr>
        <w:t>1</w:t>
      </w:r>
      <w:r w:rsidR="001315D8" w:rsidRPr="00BE2980">
        <w:rPr>
          <w:rFonts w:ascii="Arial" w:hAnsi="Arial" w:cs="Arial"/>
          <w:noProof/>
        </w:rPr>
        <w:fldChar w:fldCharType="end"/>
      </w:r>
      <w:bookmarkEnd w:id="2"/>
      <w:r w:rsidR="00B87CA9" w:rsidRPr="00BE2980">
        <w:rPr>
          <w:rFonts w:ascii="Arial" w:hAnsi="Arial" w:cs="Arial"/>
        </w:rPr>
        <w:t xml:space="preserve">. PRR performance for different level of sub-bands (target </w:t>
      </w:r>
      <w:r w:rsidR="00362E96" w:rsidRPr="00BE2980">
        <w:rPr>
          <w:rFonts w:ascii="Arial" w:hAnsi="Arial" w:cs="Arial"/>
        </w:rPr>
        <w:t>energy per bit is 5e-08 and single PSCCH per slot bundle is used)</w:t>
      </w:r>
      <w:r w:rsidR="00674C8D" w:rsidRPr="00BE2980">
        <w:rPr>
          <w:rFonts w:ascii="Arial" w:hAnsi="Arial" w:cs="Arial"/>
        </w:rPr>
        <w:t>.</w:t>
      </w:r>
    </w:p>
    <w:p w14:paraId="0517C431" w14:textId="1DDB4E8F" w:rsidR="002B4B90" w:rsidRDefault="00E542B6" w:rsidP="002B4B90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63571CE5" wp14:editId="15AC3471">
            <wp:extent cx="5330825" cy="3998118"/>
            <wp:effectExtent l="0" t="0" r="3175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ricabl\Documents\MATLAB\V2V\FIKA5G\branches\ERICABL_181021_dev_sidelink_main\results\templates\Figure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99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60D2E" w14:textId="79C1A503" w:rsidR="00A72049" w:rsidRPr="00BE2980" w:rsidRDefault="002B4B90" w:rsidP="002B4B90">
      <w:pPr>
        <w:pStyle w:val="Caption"/>
        <w:jc w:val="center"/>
        <w:rPr>
          <w:rFonts w:ascii="Arial" w:hAnsi="Arial" w:cs="Arial"/>
        </w:rPr>
      </w:pPr>
      <w:bookmarkStart w:id="3" w:name="_Ref528832262"/>
      <w:r w:rsidRPr="00BE2980">
        <w:rPr>
          <w:rFonts w:ascii="Arial" w:hAnsi="Arial" w:cs="Arial"/>
        </w:rPr>
        <w:t xml:space="preserve">Figure </w:t>
      </w:r>
      <w:r w:rsidR="001315D8" w:rsidRPr="00BE2980">
        <w:rPr>
          <w:rFonts w:ascii="Arial" w:hAnsi="Arial" w:cs="Arial"/>
          <w:noProof/>
        </w:rPr>
        <w:fldChar w:fldCharType="begin"/>
      </w:r>
      <w:r w:rsidR="001315D8" w:rsidRPr="00BE2980">
        <w:rPr>
          <w:rFonts w:ascii="Arial" w:hAnsi="Arial" w:cs="Arial"/>
          <w:noProof/>
        </w:rPr>
        <w:instrText xml:space="preserve"> SEQ Figure \* ARABIC </w:instrText>
      </w:r>
      <w:r w:rsidR="001315D8" w:rsidRPr="00BE2980">
        <w:rPr>
          <w:rFonts w:ascii="Arial" w:hAnsi="Arial" w:cs="Arial"/>
          <w:noProof/>
        </w:rPr>
        <w:fldChar w:fldCharType="separate"/>
      </w:r>
      <w:r w:rsidR="008E27CE">
        <w:rPr>
          <w:rFonts w:ascii="Arial" w:hAnsi="Arial" w:cs="Arial"/>
          <w:noProof/>
        </w:rPr>
        <w:t>2</w:t>
      </w:r>
      <w:r w:rsidR="001315D8" w:rsidRPr="00BE2980">
        <w:rPr>
          <w:rFonts w:ascii="Arial" w:hAnsi="Arial" w:cs="Arial"/>
          <w:noProof/>
        </w:rPr>
        <w:fldChar w:fldCharType="end"/>
      </w:r>
      <w:bookmarkEnd w:id="3"/>
      <w:r w:rsidR="00362E96" w:rsidRPr="00BE2980">
        <w:rPr>
          <w:rFonts w:ascii="Arial" w:hAnsi="Arial" w:cs="Arial"/>
        </w:rPr>
        <w:t xml:space="preserve">. PRR performance for different </w:t>
      </w:r>
      <w:r w:rsidR="00540ACC" w:rsidRPr="00BE2980">
        <w:rPr>
          <w:rFonts w:ascii="Arial" w:hAnsi="Arial" w:cs="Arial"/>
        </w:rPr>
        <w:t>energy-per-bit values and different number of PSCCH transmissions per slot bundle (with 4 sub-bands)</w:t>
      </w:r>
      <w:r w:rsidR="00674C8D" w:rsidRPr="00BE2980">
        <w:rPr>
          <w:rFonts w:ascii="Arial" w:hAnsi="Arial" w:cs="Arial"/>
        </w:rPr>
        <w:t>.</w:t>
      </w:r>
    </w:p>
    <w:p w14:paraId="2A9AFDF4" w14:textId="30124927" w:rsidR="00C41BF6" w:rsidRPr="00BE2980" w:rsidRDefault="007B4B7A" w:rsidP="00C41BF6">
      <w:pPr>
        <w:keepNext/>
        <w:jc w:val="center"/>
        <w:rPr>
          <w:rFonts w:ascii="Arial" w:hAnsi="Arial" w:cs="Arial"/>
        </w:rPr>
      </w:pPr>
      <w:r w:rsidRPr="00BE2980">
        <w:rPr>
          <w:rFonts w:ascii="Arial" w:hAnsi="Arial" w:cs="Arial"/>
          <w:noProof/>
          <w:lang w:eastAsia="en-GB"/>
        </w:rPr>
        <w:lastRenderedPageBreak/>
        <w:drawing>
          <wp:inline distT="0" distB="0" distL="0" distR="0" wp14:anchorId="10666D9F" wp14:editId="141B7171">
            <wp:extent cx="5330825" cy="3998118"/>
            <wp:effectExtent l="0" t="0" r="3175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icabl\Documents\MATLAB\V2V\FIKA5G\branches\ERICABL_181021_dev_sidelink_main\results\templates\Figure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99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C5B6F" w14:textId="082604F1" w:rsidR="001144EC" w:rsidRDefault="00C41BF6" w:rsidP="00AE4D8C">
      <w:pPr>
        <w:pStyle w:val="Caption"/>
        <w:jc w:val="center"/>
      </w:pPr>
      <w:bookmarkStart w:id="4" w:name="_Ref528832263"/>
      <w:r w:rsidRPr="00BE2980">
        <w:rPr>
          <w:rFonts w:ascii="Arial" w:hAnsi="Arial" w:cs="Arial"/>
        </w:rPr>
        <w:t xml:space="preserve">Figure </w:t>
      </w:r>
      <w:r w:rsidR="00BF1FD8" w:rsidRPr="00BE2980">
        <w:rPr>
          <w:rFonts w:ascii="Arial" w:hAnsi="Arial" w:cs="Arial"/>
          <w:noProof/>
        </w:rPr>
        <w:fldChar w:fldCharType="begin"/>
      </w:r>
      <w:r w:rsidR="00BF1FD8" w:rsidRPr="00BE2980">
        <w:rPr>
          <w:rFonts w:ascii="Arial" w:hAnsi="Arial" w:cs="Arial"/>
          <w:noProof/>
        </w:rPr>
        <w:instrText xml:space="preserve"> SEQ Figure \* ARABIC </w:instrText>
      </w:r>
      <w:r w:rsidR="00BF1FD8" w:rsidRPr="00BE2980">
        <w:rPr>
          <w:rFonts w:ascii="Arial" w:hAnsi="Arial" w:cs="Arial"/>
          <w:noProof/>
        </w:rPr>
        <w:fldChar w:fldCharType="separate"/>
      </w:r>
      <w:r w:rsidR="008E27CE">
        <w:rPr>
          <w:rFonts w:ascii="Arial" w:hAnsi="Arial" w:cs="Arial"/>
          <w:noProof/>
        </w:rPr>
        <w:t>3</w:t>
      </w:r>
      <w:r w:rsidR="00BF1FD8" w:rsidRPr="00BE2980">
        <w:rPr>
          <w:rFonts w:ascii="Arial" w:hAnsi="Arial" w:cs="Arial"/>
          <w:noProof/>
        </w:rPr>
        <w:fldChar w:fldCharType="end"/>
      </w:r>
      <w:bookmarkEnd w:id="4"/>
      <w:r w:rsidR="00DB11CC" w:rsidRPr="00BE2980">
        <w:rPr>
          <w:rFonts w:ascii="Arial" w:hAnsi="Arial" w:cs="Arial"/>
        </w:rPr>
        <w:t>. Latency performance for number of sub-bands and different energy-per-bit values (single PSCCH per slot bundle is used).</w:t>
      </w:r>
      <w:r w:rsidR="00A104D8">
        <w:rPr>
          <w:noProof/>
        </w:rPr>
        <w:drawing>
          <wp:inline distT="0" distB="0" distL="0" distR="0" wp14:anchorId="696D3765" wp14:editId="26ED0AB2">
            <wp:extent cx="5334002" cy="4000500"/>
            <wp:effectExtent l="0" t="0" r="0" b="0"/>
            <wp:docPr id="1633386300" name="picture" descr="C:\Users\ericabl\Documents\MATLAB\V2V\FIKA5G\branches\ERICABL_181021_dev_sidelink_main\results\templates\Figure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2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C9A60" w14:textId="660AA868" w:rsidR="00AE4D8C" w:rsidRPr="00AE4D8C" w:rsidRDefault="001144EC" w:rsidP="00AE4D8C">
      <w:pPr>
        <w:pStyle w:val="Caption"/>
        <w:jc w:val="center"/>
      </w:pPr>
      <w:bookmarkStart w:id="5" w:name="_Ref528922561"/>
      <w:r w:rsidRPr="00BE2980">
        <w:rPr>
          <w:rFonts w:ascii="Arial" w:hAnsi="Arial" w:cs="Arial"/>
        </w:rPr>
        <w:t xml:space="preserve">Figure </w:t>
      </w:r>
      <w:r w:rsidRPr="00BE2980">
        <w:rPr>
          <w:rFonts w:ascii="Arial" w:hAnsi="Arial" w:cs="Arial"/>
        </w:rPr>
        <w:fldChar w:fldCharType="begin"/>
      </w:r>
      <w:r w:rsidRPr="00BE2980">
        <w:rPr>
          <w:rFonts w:ascii="Arial" w:hAnsi="Arial" w:cs="Arial"/>
        </w:rPr>
        <w:instrText xml:space="preserve"> SEQ Figure \* ARABIC </w:instrText>
      </w:r>
      <w:r w:rsidRPr="00BE2980">
        <w:rPr>
          <w:rFonts w:ascii="Arial" w:hAnsi="Arial" w:cs="Arial"/>
        </w:rPr>
        <w:fldChar w:fldCharType="separate"/>
      </w:r>
      <w:r w:rsidR="008E27CE">
        <w:rPr>
          <w:rFonts w:ascii="Arial" w:hAnsi="Arial" w:cs="Arial"/>
          <w:noProof/>
        </w:rPr>
        <w:t>4</w:t>
      </w:r>
      <w:r w:rsidRPr="00BE2980">
        <w:rPr>
          <w:rFonts w:ascii="Arial" w:hAnsi="Arial" w:cs="Arial"/>
        </w:rPr>
        <w:fldChar w:fldCharType="end"/>
      </w:r>
      <w:bookmarkEnd w:id="5"/>
      <w:r w:rsidRPr="00BE2980">
        <w:rPr>
          <w:rFonts w:ascii="Arial" w:hAnsi="Arial" w:cs="Arial"/>
        </w:rPr>
        <w:t>. PRR performance for different level of sub-bands (target energy per bit is 5e-08 and single PSCCH per slot bundle is used).</w:t>
      </w:r>
    </w:p>
    <w:p w14:paraId="59D0DEE2" w14:textId="2A0732D4" w:rsidR="001144EC" w:rsidRDefault="00A104D8" w:rsidP="001144EC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211B90ED" wp14:editId="09028CEA">
            <wp:extent cx="5334002" cy="4000500"/>
            <wp:effectExtent l="0" t="0" r="0" b="0"/>
            <wp:docPr id="784874998" name="picture" descr="C:\Users\ericabl\Documents\MATLAB\V2V\FIKA5G\branches\ERICABL_181021_dev_sidelink_main\results\templates\Figure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2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38118" w14:textId="1E0D3A94" w:rsidR="00DB5B69" w:rsidRPr="00BE2980" w:rsidRDefault="001144EC" w:rsidP="001144EC">
      <w:pPr>
        <w:pStyle w:val="Caption"/>
        <w:jc w:val="center"/>
        <w:rPr>
          <w:rFonts w:ascii="Arial" w:hAnsi="Arial" w:cs="Arial"/>
          <w:highlight w:val="yellow"/>
        </w:rPr>
      </w:pPr>
      <w:bookmarkStart w:id="6" w:name="_Ref528922562"/>
      <w:r w:rsidRPr="00BE2980">
        <w:rPr>
          <w:rFonts w:ascii="Arial" w:hAnsi="Arial" w:cs="Arial"/>
        </w:rPr>
        <w:t xml:space="preserve">Figure </w:t>
      </w:r>
      <w:r w:rsidRPr="00BE2980">
        <w:rPr>
          <w:rFonts w:ascii="Arial" w:hAnsi="Arial" w:cs="Arial"/>
        </w:rPr>
        <w:fldChar w:fldCharType="begin"/>
      </w:r>
      <w:r w:rsidRPr="00BE2980">
        <w:rPr>
          <w:rFonts w:ascii="Arial" w:hAnsi="Arial" w:cs="Arial"/>
        </w:rPr>
        <w:instrText xml:space="preserve"> SEQ Figure \* ARABIC </w:instrText>
      </w:r>
      <w:r w:rsidRPr="00BE2980">
        <w:rPr>
          <w:rFonts w:ascii="Arial" w:hAnsi="Arial" w:cs="Arial"/>
        </w:rPr>
        <w:fldChar w:fldCharType="separate"/>
      </w:r>
      <w:r w:rsidR="008E27CE">
        <w:rPr>
          <w:rFonts w:ascii="Arial" w:hAnsi="Arial" w:cs="Arial"/>
          <w:noProof/>
        </w:rPr>
        <w:t>5</w:t>
      </w:r>
      <w:r w:rsidRPr="00BE2980">
        <w:rPr>
          <w:rFonts w:ascii="Arial" w:hAnsi="Arial" w:cs="Arial"/>
        </w:rPr>
        <w:fldChar w:fldCharType="end"/>
      </w:r>
      <w:bookmarkEnd w:id="6"/>
      <w:r w:rsidR="00BE2980" w:rsidRPr="00BE2980">
        <w:rPr>
          <w:rFonts w:ascii="Arial" w:hAnsi="Arial" w:cs="Arial"/>
        </w:rPr>
        <w:t>. Latency performance for different level of sub-bands (target energy per bit is 5e-08 and single PSCCH per slot bundle is used).</w:t>
      </w:r>
    </w:p>
    <w:p w14:paraId="7086676D" w14:textId="77777777" w:rsidR="007179FD" w:rsidRPr="00DB0DA8" w:rsidRDefault="007179FD" w:rsidP="007179FD">
      <w:pPr>
        <w:pStyle w:val="Heading2"/>
      </w:pPr>
      <w:r>
        <w:t>2.2</w:t>
      </w:r>
      <w:r>
        <w:tab/>
      </w:r>
      <w:r w:rsidRPr="00DB0DA8">
        <w:t>Random channel access</w:t>
      </w:r>
    </w:p>
    <w:p w14:paraId="6F3AA633" w14:textId="77777777" w:rsidR="007179FD" w:rsidRPr="00DB0DA8" w:rsidRDefault="007179FD" w:rsidP="007179FD">
      <w:pPr>
        <w:rPr>
          <w:rFonts w:ascii="Arial" w:hAnsi="Arial" w:cs="Arial"/>
        </w:rPr>
      </w:pPr>
      <w:r w:rsidRPr="00DB0DA8">
        <w:rPr>
          <w:rFonts w:ascii="Arial" w:hAnsi="Arial" w:cs="Arial"/>
        </w:rPr>
        <w:t>To serve as a crude benchmark, we have evaluated the PRR performance of the following random channel access procedure:</w:t>
      </w:r>
    </w:p>
    <w:p w14:paraId="3806D80E" w14:textId="77777777" w:rsidR="007179FD" w:rsidRPr="00DB0DA8" w:rsidRDefault="007179FD" w:rsidP="007179FD">
      <w:pPr>
        <w:pStyle w:val="BodyText"/>
        <w:numPr>
          <w:ilvl w:val="0"/>
          <w:numId w:val="23"/>
        </w:numPr>
      </w:pPr>
      <w:r w:rsidRPr="00DB0DA8">
        <w:t>The channel is divided into multiple sub-bands or sub-channels.</w:t>
      </w:r>
    </w:p>
    <w:p w14:paraId="799B6FB8" w14:textId="77777777" w:rsidR="007179FD" w:rsidRPr="00DB0DA8" w:rsidRDefault="007179FD" w:rsidP="007179FD">
      <w:pPr>
        <w:pStyle w:val="BodyText"/>
        <w:numPr>
          <w:ilvl w:val="0"/>
          <w:numId w:val="23"/>
        </w:numPr>
      </w:pPr>
      <w:r w:rsidRPr="00DB0DA8">
        <w:t>The transmission of a UE is restricted to a single sub-band but may consists of an aggregation of multiple slots. The first slot in the bundle contains PSCCH (carrying SCI) and PSSCH. The remaining slots carry PSSCH only.</w:t>
      </w:r>
    </w:p>
    <w:p w14:paraId="5B19CF7E" w14:textId="2A9F8F09" w:rsidR="007179FD" w:rsidRPr="00DB0DA8" w:rsidRDefault="007179FD" w:rsidP="007179FD">
      <w:pPr>
        <w:pStyle w:val="BodyText"/>
        <w:numPr>
          <w:ilvl w:val="1"/>
          <w:numId w:val="23"/>
        </w:numPr>
      </w:pPr>
      <w:r w:rsidRPr="00DB0DA8">
        <w:t>The actual number of slots is selected to ensure that a minimum (transmit) energy per information bit is used with the additional constraint that the coding rate must be below 0.75.</w:t>
      </w:r>
      <w:r w:rsidR="00B71078">
        <w:t xml:space="preserve"> Energy per information bit considerations and values are discussed in </w:t>
      </w:r>
      <w:r w:rsidR="00B71078">
        <w:fldChar w:fldCharType="begin"/>
      </w:r>
      <w:r w:rsidR="00B71078">
        <w:instrText xml:space="preserve"> REF _Ref528838722 \r \h </w:instrText>
      </w:r>
      <w:r w:rsidR="00B71078">
        <w:fldChar w:fldCharType="separate"/>
      </w:r>
      <w:r w:rsidR="008E27CE">
        <w:t>[2]</w:t>
      </w:r>
      <w:r w:rsidR="00B71078">
        <w:fldChar w:fldCharType="end"/>
      </w:r>
      <w:r w:rsidR="00B71078">
        <w:t>.</w:t>
      </w:r>
      <w:r w:rsidRPr="00DB0DA8">
        <w:t xml:space="preserve"> </w:t>
      </w:r>
    </w:p>
    <w:p w14:paraId="0839F31D" w14:textId="77777777" w:rsidR="007179FD" w:rsidRPr="00DB0DA8" w:rsidRDefault="007179FD" w:rsidP="007179FD">
      <w:pPr>
        <w:pStyle w:val="BodyText"/>
        <w:numPr>
          <w:ilvl w:val="0"/>
          <w:numId w:val="23"/>
        </w:numPr>
      </w:pPr>
      <w:r w:rsidRPr="00DB0DA8">
        <w:t>After a packet arrives at the TX buffer, the UE selects a subchannel at random within a selection window (10 slots)</w:t>
      </w:r>
    </w:p>
    <w:p w14:paraId="4AD5CDC1" w14:textId="54C0B615" w:rsidR="005F7B6E" w:rsidRPr="00DB0DA8" w:rsidRDefault="000B75D7" w:rsidP="005F7B6E">
      <w:pPr>
        <w:pStyle w:val="BodyText"/>
      </w:pPr>
      <w:r>
        <w:t xml:space="preserve">We present PRR and latency results </w:t>
      </w:r>
      <w:r w:rsidR="005710C6">
        <w:t xml:space="preserve">for the highway layout </w:t>
      </w:r>
      <w:r>
        <w:t>i</w:t>
      </w:r>
      <w:r w:rsidR="005F7B6E">
        <w:t xml:space="preserve">n </w:t>
      </w:r>
      <w:r w:rsidR="005F7B6E">
        <w:fldChar w:fldCharType="begin"/>
      </w:r>
      <w:r w:rsidR="005F7B6E">
        <w:instrText xml:space="preserve"> REF _Ref528922941 \h </w:instrText>
      </w:r>
      <w:r w:rsidR="005F7B6E">
        <w:fldChar w:fldCharType="separate"/>
      </w:r>
      <w:r w:rsidR="008E27CE" w:rsidRPr="00DB0DA8">
        <w:rPr>
          <w:rFonts w:cs="Arial"/>
        </w:rPr>
        <w:t xml:space="preserve">Figure </w:t>
      </w:r>
      <w:r w:rsidR="008E27CE">
        <w:rPr>
          <w:rFonts w:cs="Arial"/>
          <w:noProof/>
        </w:rPr>
        <w:t>6</w:t>
      </w:r>
      <w:r w:rsidR="005F7B6E">
        <w:fldChar w:fldCharType="end"/>
      </w:r>
      <w:r w:rsidR="005F7B6E">
        <w:t xml:space="preserve"> and </w:t>
      </w:r>
      <w:r w:rsidR="005F7B6E">
        <w:fldChar w:fldCharType="begin"/>
      </w:r>
      <w:r w:rsidR="005F7B6E">
        <w:instrText xml:space="preserve"> REF _Ref528922943 \h </w:instrText>
      </w:r>
      <w:r w:rsidR="005F7B6E">
        <w:fldChar w:fldCharType="separate"/>
      </w:r>
      <w:r w:rsidR="008E27CE" w:rsidRPr="00DB0DA8">
        <w:rPr>
          <w:rFonts w:cs="Arial"/>
        </w:rPr>
        <w:t xml:space="preserve">Figure </w:t>
      </w:r>
      <w:r w:rsidR="008E27CE">
        <w:rPr>
          <w:rFonts w:cs="Arial"/>
          <w:noProof/>
        </w:rPr>
        <w:t>7</w:t>
      </w:r>
      <w:r w:rsidR="005F7B6E">
        <w:fldChar w:fldCharType="end"/>
      </w:r>
      <w:r>
        <w:t>, respectively.</w:t>
      </w:r>
      <w:r w:rsidR="008F6E50">
        <w:t xml:space="preserve"> </w:t>
      </w:r>
      <w:r w:rsidR="008E4679">
        <w:t xml:space="preserve">Detailed evaluation assumptions can be found in the appendix. </w:t>
      </w:r>
      <w:r w:rsidR="008F6E50">
        <w:t>Clearly, the use of slot bundling is not compatible with random channel access.</w:t>
      </w:r>
      <w:r>
        <w:t xml:space="preserve"> </w:t>
      </w:r>
    </w:p>
    <w:p w14:paraId="72FC0C6F" w14:textId="00162A0F" w:rsidR="00DB0DA8" w:rsidRDefault="000D0486" w:rsidP="00DB0DA8">
      <w:pPr>
        <w:pStyle w:val="Heading2"/>
        <w:jc w:val="right"/>
      </w:pPr>
      <w:r w:rsidRPr="00DB0DA8">
        <w:rPr>
          <w:noProof/>
        </w:rPr>
        <w:lastRenderedPageBreak/>
        <w:drawing>
          <wp:inline distT="0" distB="0" distL="0" distR="0" wp14:anchorId="34E4C445" wp14:editId="474A5ED6">
            <wp:extent cx="5334000" cy="4000500"/>
            <wp:effectExtent l="0" t="0" r="0" b="0"/>
            <wp:docPr id="1" name="Picture 1" descr="C:\Users\ericabl\Documents\MATLAB\V2V\FIKA5G\branches\ERICABL_181021_dev_sidelink_main\results\templates\Figure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icabl\Documents\MATLAB\V2V\FIKA5G\branches\ERICABL_181021_dev_sidelink_main\results\templates\Figure0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8CB3F" w14:textId="296B5948" w:rsidR="00DB0DA8" w:rsidRPr="00DB0DA8" w:rsidRDefault="00DB0DA8" w:rsidP="00951711">
      <w:pPr>
        <w:pStyle w:val="Caption"/>
        <w:jc w:val="center"/>
        <w:rPr>
          <w:rFonts w:ascii="Arial" w:hAnsi="Arial" w:cs="Arial"/>
        </w:rPr>
      </w:pPr>
      <w:bookmarkStart w:id="7" w:name="_Ref528922941"/>
      <w:r w:rsidRPr="00DB0DA8">
        <w:rPr>
          <w:rFonts w:ascii="Arial" w:hAnsi="Arial" w:cs="Arial"/>
        </w:rPr>
        <w:t xml:space="preserve">Figure </w:t>
      </w:r>
      <w:r w:rsidRPr="00DB0DA8">
        <w:rPr>
          <w:rFonts w:ascii="Arial" w:hAnsi="Arial" w:cs="Arial"/>
        </w:rPr>
        <w:fldChar w:fldCharType="begin"/>
      </w:r>
      <w:r w:rsidRPr="00DB0DA8">
        <w:rPr>
          <w:rFonts w:ascii="Arial" w:hAnsi="Arial" w:cs="Arial"/>
        </w:rPr>
        <w:instrText xml:space="preserve"> SEQ Figure \* ARABIC </w:instrText>
      </w:r>
      <w:r w:rsidRPr="00DB0DA8">
        <w:rPr>
          <w:rFonts w:ascii="Arial" w:hAnsi="Arial" w:cs="Arial"/>
        </w:rPr>
        <w:fldChar w:fldCharType="separate"/>
      </w:r>
      <w:r w:rsidR="008E27CE">
        <w:rPr>
          <w:rFonts w:ascii="Arial" w:hAnsi="Arial" w:cs="Arial"/>
          <w:noProof/>
        </w:rPr>
        <w:t>6</w:t>
      </w:r>
      <w:r w:rsidRPr="00DB0DA8">
        <w:rPr>
          <w:rFonts w:ascii="Arial" w:hAnsi="Arial" w:cs="Arial"/>
        </w:rPr>
        <w:fldChar w:fldCharType="end"/>
      </w:r>
      <w:bookmarkEnd w:id="7"/>
      <w:r w:rsidR="00951711">
        <w:rPr>
          <w:rFonts w:ascii="Arial" w:hAnsi="Arial" w:cs="Arial"/>
        </w:rPr>
        <w:t xml:space="preserve">. </w:t>
      </w:r>
      <w:r w:rsidR="00951711" w:rsidRPr="00BE2980">
        <w:rPr>
          <w:rFonts w:ascii="Arial" w:hAnsi="Arial" w:cs="Arial"/>
        </w:rPr>
        <w:t>PRR performance for different level of sub-bands (target energy per bit is 5e-08 and single PSCCH per slot bundle is used).</w:t>
      </w:r>
      <w:r w:rsidR="000D0486" w:rsidRPr="00DB0DA8">
        <w:rPr>
          <w:rFonts w:ascii="Arial" w:hAnsi="Arial" w:cs="Arial"/>
          <w:noProof/>
        </w:rPr>
        <w:drawing>
          <wp:inline distT="0" distB="0" distL="0" distR="0" wp14:anchorId="0B25146F" wp14:editId="288D8DE3">
            <wp:extent cx="5334000" cy="4000500"/>
            <wp:effectExtent l="0" t="0" r="0" b="0"/>
            <wp:docPr id="2" name="Picture 2" descr="C:\Users\ericabl\Documents\MATLAB\V2V\FIKA5G\branches\ERICABL_181021_dev_sidelink_main\results\templates\Figure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icabl\Documents\MATLAB\V2V\FIKA5G\branches\ERICABL_181021_dev_sidelink_main\results\templates\Figure0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602B0" w14:textId="1E698839" w:rsidR="00C473A5" w:rsidRPr="00DB0DA8" w:rsidRDefault="00DB0DA8" w:rsidP="00DB0DA8">
      <w:pPr>
        <w:pStyle w:val="Caption"/>
        <w:jc w:val="center"/>
        <w:rPr>
          <w:rFonts w:ascii="Arial" w:hAnsi="Arial" w:cs="Arial"/>
        </w:rPr>
      </w:pPr>
      <w:bookmarkStart w:id="8" w:name="_Ref528922943"/>
      <w:r w:rsidRPr="00DB0DA8">
        <w:rPr>
          <w:rFonts w:ascii="Arial" w:hAnsi="Arial" w:cs="Arial"/>
        </w:rPr>
        <w:t xml:space="preserve">Figure </w:t>
      </w:r>
      <w:r w:rsidRPr="00DB0DA8">
        <w:rPr>
          <w:rFonts w:ascii="Arial" w:hAnsi="Arial" w:cs="Arial"/>
        </w:rPr>
        <w:fldChar w:fldCharType="begin"/>
      </w:r>
      <w:r w:rsidRPr="00DB0DA8">
        <w:rPr>
          <w:rFonts w:ascii="Arial" w:hAnsi="Arial" w:cs="Arial"/>
        </w:rPr>
        <w:instrText xml:space="preserve"> SEQ Figure \* ARABIC </w:instrText>
      </w:r>
      <w:r w:rsidRPr="00DB0DA8">
        <w:rPr>
          <w:rFonts w:ascii="Arial" w:hAnsi="Arial" w:cs="Arial"/>
        </w:rPr>
        <w:fldChar w:fldCharType="separate"/>
      </w:r>
      <w:r w:rsidR="008E27CE">
        <w:rPr>
          <w:rFonts w:ascii="Arial" w:hAnsi="Arial" w:cs="Arial"/>
          <w:noProof/>
        </w:rPr>
        <w:t>7</w:t>
      </w:r>
      <w:r w:rsidRPr="00DB0DA8">
        <w:rPr>
          <w:rFonts w:ascii="Arial" w:hAnsi="Arial" w:cs="Arial"/>
        </w:rPr>
        <w:fldChar w:fldCharType="end"/>
      </w:r>
      <w:bookmarkEnd w:id="8"/>
      <w:r w:rsidR="00951711">
        <w:rPr>
          <w:rFonts w:ascii="Arial" w:hAnsi="Arial" w:cs="Arial"/>
        </w:rPr>
        <w:t>. Latency</w:t>
      </w:r>
      <w:r w:rsidR="00951711" w:rsidRPr="00BE2980">
        <w:rPr>
          <w:rFonts w:ascii="Arial" w:hAnsi="Arial" w:cs="Arial"/>
        </w:rPr>
        <w:t xml:space="preserve"> performance for different level of sub-bands (target energy per bit is 5e-08 and single PSCCH per slot bundle is used).</w:t>
      </w:r>
    </w:p>
    <w:p w14:paraId="2254A867" w14:textId="75363127" w:rsidR="00FB3820" w:rsidRDefault="00DB0DA8" w:rsidP="00DB0DA8">
      <w:pPr>
        <w:pStyle w:val="Heading1"/>
        <w:rPr>
          <w:rStyle w:val="Heading1Char"/>
        </w:rPr>
      </w:pPr>
      <w:r>
        <w:lastRenderedPageBreak/>
        <w:t>3</w:t>
      </w:r>
      <w:r>
        <w:tab/>
        <w:t>Discussion</w:t>
      </w:r>
    </w:p>
    <w:p w14:paraId="3340F6EB" w14:textId="3B54ED05" w:rsidR="00544E56" w:rsidRPr="00544E56" w:rsidRDefault="00544E56" w:rsidP="00DB0DA8">
      <w:pPr>
        <w:pStyle w:val="BodyText"/>
      </w:pPr>
      <w:r w:rsidRPr="00544E56">
        <w:t>From the results presented above, we can conclude the following:</w:t>
      </w:r>
    </w:p>
    <w:p w14:paraId="0E6B349B" w14:textId="23DF2E34" w:rsidR="00544E56" w:rsidRDefault="005B1231" w:rsidP="00544E56">
      <w:pPr>
        <w:pStyle w:val="BodyText"/>
        <w:numPr>
          <w:ilvl w:val="0"/>
          <w:numId w:val="28"/>
        </w:numPr>
      </w:pPr>
      <w:r>
        <w:t xml:space="preserve">Slot bundling is not compatible with </w:t>
      </w:r>
      <w:r w:rsidR="002A2CA3">
        <w:t>random channel access.</w:t>
      </w:r>
    </w:p>
    <w:p w14:paraId="4200D750" w14:textId="53AE9FDE" w:rsidR="002A2CA3" w:rsidRDefault="002A2CA3" w:rsidP="00544E56">
      <w:pPr>
        <w:pStyle w:val="BodyText"/>
        <w:numPr>
          <w:ilvl w:val="0"/>
          <w:numId w:val="28"/>
        </w:numPr>
      </w:pPr>
      <w:r>
        <w:t>Listen-before-talk procedure</w:t>
      </w:r>
      <w:r w:rsidR="00A27CC6">
        <w:t xml:space="preserve"> has better performance but falls short </w:t>
      </w:r>
      <w:r w:rsidR="00152E77">
        <w:t xml:space="preserve">of </w:t>
      </w:r>
      <w:r w:rsidR="00A27CC6">
        <w:t xml:space="preserve">meeting </w:t>
      </w:r>
      <w:r w:rsidR="00377657">
        <w:t xml:space="preserve">the </w:t>
      </w:r>
      <w:r w:rsidR="00FE08C0">
        <w:t xml:space="preserve">PRR and latency </w:t>
      </w:r>
      <w:r w:rsidR="00377657">
        <w:t>requirements</w:t>
      </w:r>
      <w:r w:rsidR="00FE08C0">
        <w:t>. More specifically,</w:t>
      </w:r>
    </w:p>
    <w:p w14:paraId="144F192D" w14:textId="5BCEC23A" w:rsidR="00FE08C0" w:rsidRDefault="00FE08C0" w:rsidP="00FE08C0">
      <w:pPr>
        <w:pStyle w:val="BodyText"/>
        <w:numPr>
          <w:ilvl w:val="1"/>
          <w:numId w:val="28"/>
        </w:numPr>
      </w:pPr>
      <w:r>
        <w:t xml:space="preserve">It has a </w:t>
      </w:r>
      <w:r w:rsidR="00B858DE">
        <w:t>PRR ceiling even for close distances due to half-duplex and in-band emissions.</w:t>
      </w:r>
    </w:p>
    <w:p w14:paraId="20D504DD" w14:textId="6394E3D6" w:rsidR="00B858DE" w:rsidRDefault="00B858DE" w:rsidP="00FE08C0">
      <w:pPr>
        <w:pStyle w:val="BodyText"/>
        <w:numPr>
          <w:ilvl w:val="1"/>
          <w:numId w:val="28"/>
        </w:numPr>
      </w:pPr>
      <w:r>
        <w:t>It cannot guarantee very low</w:t>
      </w:r>
      <w:r w:rsidR="008B7C79">
        <w:t xml:space="preserve"> channel access latency.</w:t>
      </w:r>
    </w:p>
    <w:p w14:paraId="1FDC0865" w14:textId="06624A52" w:rsidR="008B7C79" w:rsidRPr="00544E56" w:rsidRDefault="003C7AE1" w:rsidP="003C7AE1">
      <w:pPr>
        <w:pStyle w:val="BodyText"/>
        <w:numPr>
          <w:ilvl w:val="0"/>
          <w:numId w:val="28"/>
        </w:numPr>
      </w:pPr>
      <w:r>
        <w:t xml:space="preserve">Frequency multiplexing </w:t>
      </w:r>
      <w:r w:rsidR="00DE4E98">
        <w:t>of users is necessary</w:t>
      </w:r>
      <w:r w:rsidR="00336BC5">
        <w:t>.</w:t>
      </w:r>
    </w:p>
    <w:p w14:paraId="4A629F9C" w14:textId="5D45A923" w:rsidR="002D22DC" w:rsidRPr="00B4682A" w:rsidRDefault="00D84871" w:rsidP="002D22DC">
      <w:pPr>
        <w:pStyle w:val="Observation"/>
      </w:pPr>
      <w:bookmarkStart w:id="9" w:name="_Toc528955477"/>
      <w:r w:rsidRPr="00B4682A">
        <w:t>Listen-before talk channel access cannot meeting the PRR and latency requirements of NR V2X</w:t>
      </w:r>
      <w:r w:rsidR="00B4682A" w:rsidRPr="00B4682A">
        <w:t>:</w:t>
      </w:r>
      <w:bookmarkEnd w:id="9"/>
    </w:p>
    <w:p w14:paraId="1FA3D85C" w14:textId="4E231356" w:rsidR="00B4682A" w:rsidRDefault="00B4682A" w:rsidP="00B4682A">
      <w:pPr>
        <w:pStyle w:val="Observation"/>
        <w:numPr>
          <w:ilvl w:val="0"/>
          <w:numId w:val="29"/>
        </w:numPr>
      </w:pPr>
      <w:bookmarkStart w:id="10" w:name="_Toc528955478"/>
      <w:r w:rsidRPr="00B4682A">
        <w:t>It has a</w:t>
      </w:r>
      <w:r>
        <w:t xml:space="preserve"> PRR ceiling even for close distances due to half-duplex and in-band emissions.</w:t>
      </w:r>
      <w:bookmarkEnd w:id="10"/>
    </w:p>
    <w:p w14:paraId="6783B8BA" w14:textId="32A99745" w:rsidR="00B4682A" w:rsidRDefault="00B4682A" w:rsidP="00B4682A">
      <w:pPr>
        <w:pStyle w:val="Observation"/>
        <w:numPr>
          <w:ilvl w:val="0"/>
          <w:numId w:val="29"/>
        </w:numPr>
      </w:pPr>
      <w:bookmarkStart w:id="11" w:name="_Toc528955479"/>
      <w:r w:rsidRPr="00B4682A">
        <w:t>It cannot guarantee very low channel access latency.</w:t>
      </w:r>
      <w:bookmarkEnd w:id="11"/>
    </w:p>
    <w:p w14:paraId="7524151F" w14:textId="77777777" w:rsidR="006248DB" w:rsidRDefault="003B4AEC" w:rsidP="00B4682A">
      <w:pPr>
        <w:pStyle w:val="Observation"/>
      </w:pPr>
      <w:bookmarkStart w:id="12" w:name="_Toc528955480"/>
      <w:r>
        <w:t>Slot bundling and frequency multiplexing are ne</w:t>
      </w:r>
      <w:r w:rsidR="000008B5">
        <w:t>cessary</w:t>
      </w:r>
      <w:r w:rsidR="00D9677D">
        <w:t>.</w:t>
      </w:r>
      <w:bookmarkEnd w:id="12"/>
    </w:p>
    <w:p w14:paraId="2E194087" w14:textId="6D37E7B4" w:rsidR="00B4682A" w:rsidRPr="00B4682A" w:rsidRDefault="006248DB" w:rsidP="00B4682A">
      <w:pPr>
        <w:pStyle w:val="Observation"/>
      </w:pPr>
      <w:bookmarkStart w:id="13" w:name="_Toc528955481"/>
      <w:r>
        <w:t>Methods to prevent UEs from overprovisioning</w:t>
      </w:r>
      <w:r w:rsidR="00E146E6">
        <w:t xml:space="preserve"> their allocations are </w:t>
      </w:r>
      <w:r w:rsidR="00880F2B">
        <w:t>ne</w:t>
      </w:r>
      <w:r w:rsidR="00F22ABE">
        <w:t>eded</w:t>
      </w:r>
      <w:r w:rsidR="00880F2B">
        <w:t>.</w:t>
      </w:r>
      <w:bookmarkEnd w:id="13"/>
      <w:r>
        <w:t xml:space="preserve"> </w:t>
      </w:r>
      <w:r w:rsidR="000008B5">
        <w:t xml:space="preserve"> </w:t>
      </w: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8CFDBD5" w14:textId="41DA1CBF" w:rsidR="001D2A9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55477" w:history="1">
        <w:r w:rsidR="001D2A94" w:rsidRPr="00D91823">
          <w:rPr>
            <w:rStyle w:val="Hyperlink"/>
            <w:noProof/>
          </w:rPr>
          <w:t>Observation 1</w:t>
        </w:r>
        <w:r w:rsidR="001D2A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D2A94" w:rsidRPr="00D91823">
          <w:rPr>
            <w:rStyle w:val="Hyperlink"/>
            <w:noProof/>
          </w:rPr>
          <w:t>Listen-before talk channel access cannot meeting the PRR and latency requirements of NR V2X:</w:t>
        </w:r>
      </w:hyperlink>
    </w:p>
    <w:p w14:paraId="49314AED" w14:textId="40E5C9C9" w:rsidR="001D2A94" w:rsidRDefault="00A978F8" w:rsidP="001D2A94">
      <w:pPr>
        <w:pStyle w:val="TableofFigures"/>
        <w:tabs>
          <w:tab w:val="right" w:leader="dot" w:pos="9629"/>
        </w:tabs>
        <w:ind w:left="2127" w:hanging="283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55478" w:history="1">
        <w:r w:rsidR="001D2A94" w:rsidRPr="00D91823">
          <w:rPr>
            <w:rStyle w:val="Hyperlink"/>
            <w:rFonts w:ascii="Symbol" w:hAnsi="Symbol"/>
            <w:noProof/>
          </w:rPr>
          <w:t></w:t>
        </w:r>
        <w:r w:rsidR="001D2A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D2A94" w:rsidRPr="00D91823">
          <w:rPr>
            <w:rStyle w:val="Hyperlink"/>
            <w:noProof/>
          </w:rPr>
          <w:t>It has a PRR ceiling even for close distances due to half-duplex and in-band emissions.</w:t>
        </w:r>
      </w:hyperlink>
    </w:p>
    <w:p w14:paraId="03144A0E" w14:textId="69C8E558" w:rsidR="001D2A94" w:rsidRDefault="00A978F8" w:rsidP="001D2A94">
      <w:pPr>
        <w:pStyle w:val="TableofFigures"/>
        <w:tabs>
          <w:tab w:val="right" w:leader="dot" w:pos="9629"/>
        </w:tabs>
        <w:ind w:left="2127" w:hanging="283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55479" w:history="1">
        <w:r w:rsidR="001D2A94" w:rsidRPr="00D91823">
          <w:rPr>
            <w:rStyle w:val="Hyperlink"/>
            <w:rFonts w:ascii="Symbol" w:hAnsi="Symbol"/>
            <w:noProof/>
          </w:rPr>
          <w:t></w:t>
        </w:r>
        <w:r w:rsidR="001D2A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D2A94" w:rsidRPr="00D91823">
          <w:rPr>
            <w:rStyle w:val="Hyperlink"/>
            <w:noProof/>
          </w:rPr>
          <w:t>It cannot guarantee very low channel access latency.</w:t>
        </w:r>
      </w:hyperlink>
    </w:p>
    <w:p w14:paraId="3C69BA67" w14:textId="0F02A380" w:rsidR="001D2A94" w:rsidRDefault="00A978F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55480" w:history="1">
        <w:r w:rsidR="001D2A94" w:rsidRPr="00D91823">
          <w:rPr>
            <w:rStyle w:val="Hyperlink"/>
            <w:noProof/>
          </w:rPr>
          <w:t>Observation 2</w:t>
        </w:r>
        <w:r w:rsidR="001D2A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D2A94" w:rsidRPr="00D91823">
          <w:rPr>
            <w:rStyle w:val="Hyperlink"/>
            <w:noProof/>
          </w:rPr>
          <w:t>Slot bundling and frequency multiplexing are necessary.</w:t>
        </w:r>
      </w:hyperlink>
    </w:p>
    <w:p w14:paraId="3F20C78E" w14:textId="0942A43F" w:rsidR="001D2A94" w:rsidRDefault="00A978F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8955481" w:history="1">
        <w:r w:rsidR="001D2A94" w:rsidRPr="00D91823">
          <w:rPr>
            <w:rStyle w:val="Hyperlink"/>
            <w:noProof/>
          </w:rPr>
          <w:t>Observation 3</w:t>
        </w:r>
        <w:r w:rsidR="001D2A9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D2A94" w:rsidRPr="00D91823">
          <w:rPr>
            <w:rStyle w:val="Hyperlink"/>
            <w:noProof/>
          </w:rPr>
          <w:t>Methods to prevent UEs from overprovisioning their allocations are needed.</w:t>
        </w:r>
      </w:hyperlink>
    </w:p>
    <w:p w14:paraId="7203AEF7" w14:textId="0F221016" w:rsidR="00F507D1" w:rsidRPr="00CE0424" w:rsidRDefault="006F6582" w:rsidP="00CE0424">
      <w:pPr>
        <w:pStyle w:val="Heading1"/>
      </w:pPr>
      <w:r>
        <w:rPr>
          <w:b/>
          <w:bCs/>
          <w:lang w:eastAsia="zh-CN"/>
        </w:rPr>
        <w:fldChar w:fldCharType="end"/>
      </w:r>
      <w:r w:rsidR="00311E23" w:rsidRPr="00CE0424" w:rsidDel="00311E23">
        <w:t xml:space="preserve"> </w:t>
      </w:r>
      <w:bookmarkStart w:id="14" w:name="_In-sequence_SDU_delivery"/>
      <w:bookmarkEnd w:id="14"/>
      <w:r w:rsidR="00F507D1" w:rsidRPr="00CE0424">
        <w:t>References</w:t>
      </w:r>
    </w:p>
    <w:p w14:paraId="125C3BCF" w14:textId="2615ED2A" w:rsidR="005F3025" w:rsidRPr="008966C2" w:rsidRDefault="00C77C61" w:rsidP="00311702">
      <w:pPr>
        <w:pStyle w:val="Reference"/>
      </w:pPr>
      <w:bookmarkStart w:id="15" w:name="_Ref174151459"/>
      <w:bookmarkStart w:id="16" w:name="_Ref189809556"/>
      <w:r w:rsidRPr="008966C2">
        <w:t xml:space="preserve">R1-1813638, </w:t>
      </w:r>
      <w:r w:rsidR="00CF2475" w:rsidRPr="008966C2">
        <w:t>“</w:t>
      </w:r>
      <w:bookmarkStart w:id="17" w:name="_Ref528838717"/>
      <w:r w:rsidR="00617C5C" w:rsidRPr="008966C2">
        <w:t>Physical layer structure for SL NR V2X</w:t>
      </w:r>
      <w:r w:rsidR="00B82A37" w:rsidRPr="008966C2">
        <w:t>,</w:t>
      </w:r>
      <w:bookmarkEnd w:id="17"/>
      <w:r w:rsidR="00CF2475" w:rsidRPr="008966C2">
        <w:t>”</w:t>
      </w:r>
      <w:r w:rsidR="00617C5C" w:rsidRPr="008966C2">
        <w:t xml:space="preserve"> Ericsson</w:t>
      </w:r>
      <w:r w:rsidR="00CF2475" w:rsidRPr="008966C2">
        <w:t>, RAN1#95, Nov. 2018</w:t>
      </w:r>
      <w:r w:rsidR="00617C5C" w:rsidRPr="008966C2">
        <w:t xml:space="preserve"> </w:t>
      </w:r>
    </w:p>
    <w:p w14:paraId="776F3443" w14:textId="304632B1" w:rsidR="005F3025" w:rsidRPr="008966C2" w:rsidRDefault="0015147D" w:rsidP="00311702">
      <w:pPr>
        <w:pStyle w:val="Reference"/>
      </w:pPr>
      <w:r w:rsidRPr="008966C2">
        <w:t>R1-1813641, “</w:t>
      </w:r>
      <w:r w:rsidR="00B82A37" w:rsidRPr="008966C2">
        <w:t xml:space="preserve">On Mode 2 Resource Allocation for NR </w:t>
      </w:r>
      <w:proofErr w:type="spellStart"/>
      <w:r w:rsidR="00B82A37" w:rsidRPr="008966C2">
        <w:t>Sidelink</w:t>
      </w:r>
      <w:proofErr w:type="spellEnd"/>
      <w:r w:rsidR="00B82A37" w:rsidRPr="008966C2">
        <w:t>,” Ericsson, RAN1#95, Nov. 2018</w:t>
      </w:r>
    </w:p>
    <w:bookmarkEnd w:id="15"/>
    <w:bookmarkEnd w:id="16"/>
    <w:p w14:paraId="0034D3CC" w14:textId="6B0D9550" w:rsidR="003A7EF3" w:rsidRDefault="003A7EF3" w:rsidP="00CE0424">
      <w:pPr>
        <w:pStyle w:val="BodyText"/>
      </w:pPr>
    </w:p>
    <w:p w14:paraId="0325FD9A" w14:textId="637EA0D6" w:rsidR="008C2365" w:rsidRDefault="008C2365" w:rsidP="00CE0424">
      <w:pPr>
        <w:pStyle w:val="BodyText"/>
      </w:pPr>
    </w:p>
    <w:p w14:paraId="0BED0BD0" w14:textId="203F938D" w:rsidR="008C2365" w:rsidRDefault="008C2365" w:rsidP="008C2365">
      <w:pPr>
        <w:pStyle w:val="Heading1"/>
      </w:pPr>
      <w:r>
        <w:t>Appendix</w:t>
      </w:r>
      <w:r w:rsidR="00924D85">
        <w:t>: 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4815"/>
      </w:tblGrid>
      <w:tr w:rsidR="005D6171" w14:paraId="77EAC7E6" w14:textId="77777777" w:rsidTr="005D6171">
        <w:tc>
          <w:tcPr>
            <w:tcW w:w="4814" w:type="dxa"/>
            <w:gridSpan w:val="2"/>
          </w:tcPr>
          <w:p w14:paraId="2DCD8B8F" w14:textId="5F6DC141" w:rsidR="005D6171" w:rsidRPr="008966C2" w:rsidRDefault="005D6171" w:rsidP="00883B92">
            <w:pPr>
              <w:rPr>
                <w:b/>
              </w:rPr>
            </w:pPr>
            <w:r w:rsidRPr="008966C2">
              <w:rPr>
                <w:b/>
              </w:rPr>
              <w:t>Parameter</w:t>
            </w:r>
          </w:p>
        </w:tc>
        <w:tc>
          <w:tcPr>
            <w:tcW w:w="4815" w:type="dxa"/>
          </w:tcPr>
          <w:p w14:paraId="416FC524" w14:textId="1A44A3E3" w:rsidR="005D6171" w:rsidRPr="008966C2" w:rsidRDefault="005D6171" w:rsidP="00883B92">
            <w:pPr>
              <w:rPr>
                <w:b/>
              </w:rPr>
            </w:pPr>
            <w:r w:rsidRPr="008966C2">
              <w:rPr>
                <w:b/>
              </w:rPr>
              <w:t>Value</w:t>
            </w:r>
          </w:p>
        </w:tc>
      </w:tr>
      <w:tr w:rsidR="005D6171" w14:paraId="22013D5E" w14:textId="77777777" w:rsidTr="005D6171">
        <w:tc>
          <w:tcPr>
            <w:tcW w:w="4814" w:type="dxa"/>
            <w:gridSpan w:val="2"/>
          </w:tcPr>
          <w:p w14:paraId="0503A9E2" w14:textId="4587F807" w:rsidR="005D6171" w:rsidRDefault="005D6171" w:rsidP="00883B92">
            <w:r>
              <w:t>Carrier frequency</w:t>
            </w:r>
          </w:p>
        </w:tc>
        <w:tc>
          <w:tcPr>
            <w:tcW w:w="4815" w:type="dxa"/>
          </w:tcPr>
          <w:p w14:paraId="78990928" w14:textId="1ACA65F8" w:rsidR="005D6171" w:rsidRDefault="005D6171" w:rsidP="00883B92">
            <w:r>
              <w:t>6 GHz</w:t>
            </w:r>
          </w:p>
        </w:tc>
      </w:tr>
      <w:tr w:rsidR="008A32EE" w14:paraId="022FF10B" w14:textId="77777777" w:rsidTr="005D6171">
        <w:tc>
          <w:tcPr>
            <w:tcW w:w="4814" w:type="dxa"/>
            <w:gridSpan w:val="2"/>
          </w:tcPr>
          <w:p w14:paraId="7FDBB1DF" w14:textId="041480A9" w:rsidR="008A32EE" w:rsidRDefault="008A32EE" w:rsidP="00883B92">
            <w:r>
              <w:t>Bandwidth</w:t>
            </w:r>
          </w:p>
        </w:tc>
        <w:tc>
          <w:tcPr>
            <w:tcW w:w="4815" w:type="dxa"/>
          </w:tcPr>
          <w:p w14:paraId="2A43B2D2" w14:textId="244C9CA5" w:rsidR="008A32EE" w:rsidRDefault="008A32EE" w:rsidP="00883B92">
            <w:r>
              <w:t>20 MHz</w:t>
            </w:r>
          </w:p>
        </w:tc>
      </w:tr>
      <w:tr w:rsidR="003118E7" w14:paraId="2B006B46" w14:textId="77777777" w:rsidTr="005D6171">
        <w:tc>
          <w:tcPr>
            <w:tcW w:w="4814" w:type="dxa"/>
            <w:gridSpan w:val="2"/>
          </w:tcPr>
          <w:p w14:paraId="26F2E746" w14:textId="61A0060C" w:rsidR="003118E7" w:rsidRDefault="003118E7" w:rsidP="00883B92">
            <w:r>
              <w:t>Sub-carrier spacing</w:t>
            </w:r>
          </w:p>
        </w:tc>
        <w:tc>
          <w:tcPr>
            <w:tcW w:w="4815" w:type="dxa"/>
          </w:tcPr>
          <w:p w14:paraId="4F9F3D53" w14:textId="16E200C8" w:rsidR="003118E7" w:rsidRDefault="003118E7" w:rsidP="00883B92">
            <w:r>
              <w:t>30 kHz</w:t>
            </w:r>
          </w:p>
        </w:tc>
      </w:tr>
      <w:tr w:rsidR="0047458F" w14:paraId="306A94E4" w14:textId="77777777" w:rsidTr="005D6171">
        <w:tc>
          <w:tcPr>
            <w:tcW w:w="4814" w:type="dxa"/>
            <w:gridSpan w:val="2"/>
          </w:tcPr>
          <w:p w14:paraId="74532CBE" w14:textId="4B4FE315" w:rsidR="0047458F" w:rsidRDefault="0047458F" w:rsidP="0047458F">
            <w:r>
              <w:t>Scenario</w:t>
            </w:r>
          </w:p>
        </w:tc>
        <w:tc>
          <w:tcPr>
            <w:tcW w:w="4815" w:type="dxa"/>
          </w:tcPr>
          <w:p w14:paraId="35E86B56" w14:textId="52C77B56" w:rsidR="0047458F" w:rsidRPr="00604A65" w:rsidRDefault="0047458F" w:rsidP="0047458F">
            <w:r>
              <w:t>Highway Option A</w:t>
            </w:r>
          </w:p>
        </w:tc>
      </w:tr>
      <w:tr w:rsidR="0047458F" w14:paraId="6548A0D1" w14:textId="77777777" w:rsidTr="005D6171">
        <w:tc>
          <w:tcPr>
            <w:tcW w:w="4814" w:type="dxa"/>
            <w:gridSpan w:val="2"/>
          </w:tcPr>
          <w:p w14:paraId="249C001D" w14:textId="763EABAF" w:rsidR="0047458F" w:rsidRDefault="0047458F" w:rsidP="0047458F">
            <w:r>
              <w:lastRenderedPageBreak/>
              <w:t>Traffic model</w:t>
            </w:r>
          </w:p>
        </w:tc>
        <w:tc>
          <w:tcPr>
            <w:tcW w:w="4815" w:type="dxa"/>
          </w:tcPr>
          <w:p w14:paraId="0FBD1E85" w14:textId="5746969F" w:rsidR="0047458F" w:rsidRDefault="0047458F" w:rsidP="0047458F">
            <w:r w:rsidRPr="00604A65">
              <w:t>Medium intensity, 100% vehicles generate packets</w:t>
            </w:r>
          </w:p>
        </w:tc>
      </w:tr>
      <w:tr w:rsidR="0047458F" w14:paraId="63C6EEA8" w14:textId="77777777" w:rsidTr="003C68FF">
        <w:tc>
          <w:tcPr>
            <w:tcW w:w="2407" w:type="dxa"/>
            <w:vMerge w:val="restart"/>
          </w:tcPr>
          <w:p w14:paraId="548BCB5C" w14:textId="32C57B6F" w:rsidR="00A21443" w:rsidRDefault="00A21443" w:rsidP="0047458F">
            <w:r>
              <w:t>PS</w:t>
            </w:r>
            <w:r w:rsidR="009179C6">
              <w:t>C</w:t>
            </w:r>
            <w:r>
              <w:t>CH</w:t>
            </w:r>
          </w:p>
        </w:tc>
        <w:tc>
          <w:tcPr>
            <w:tcW w:w="2407" w:type="dxa"/>
          </w:tcPr>
          <w:p w14:paraId="0BE6D5AD" w14:textId="29F80D2E" w:rsidR="0047458F" w:rsidRDefault="00A21443" w:rsidP="0047458F">
            <w:r>
              <w:t>Allocation</w:t>
            </w:r>
            <w:r w:rsidR="0047458F">
              <w:t xml:space="preserve"> (including overhead)</w:t>
            </w:r>
          </w:p>
        </w:tc>
        <w:tc>
          <w:tcPr>
            <w:tcW w:w="4815" w:type="dxa"/>
          </w:tcPr>
          <w:p w14:paraId="31A00AB1" w14:textId="39820E02" w:rsidR="0047458F" w:rsidRDefault="0047458F" w:rsidP="0047458F">
            <w:r>
              <w:t>3 OFDM symbols, 1 sub-band (if transmitted in a slot)</w:t>
            </w:r>
          </w:p>
        </w:tc>
      </w:tr>
      <w:tr w:rsidR="00A21443" w:rsidRPr="008966C2" w14:paraId="7F05D01E" w14:textId="77777777" w:rsidTr="003C68FF">
        <w:tc>
          <w:tcPr>
            <w:tcW w:w="2407" w:type="dxa"/>
            <w:vMerge/>
          </w:tcPr>
          <w:p w14:paraId="3EF937FC" w14:textId="7F62A288" w:rsidR="00A21443" w:rsidRDefault="00A21443" w:rsidP="0047458F"/>
        </w:tc>
        <w:tc>
          <w:tcPr>
            <w:tcW w:w="2407" w:type="dxa"/>
          </w:tcPr>
          <w:p w14:paraId="41028D5A" w14:textId="390F4E2C" w:rsidR="00A21443" w:rsidRDefault="00A21443" w:rsidP="0047458F">
            <w:r>
              <w:t>Repetitions</w:t>
            </w:r>
          </w:p>
        </w:tc>
        <w:tc>
          <w:tcPr>
            <w:tcW w:w="4815" w:type="dxa"/>
          </w:tcPr>
          <w:p w14:paraId="19F59FF2" w14:textId="392A6312" w:rsidR="00A21443" w:rsidRDefault="00A21443" w:rsidP="0047458F">
            <w:r>
              <w:t xml:space="preserve">1 per slot bundle </w:t>
            </w:r>
            <w:r w:rsidR="00A34EA3">
              <w:t>(Alt. 1)</w:t>
            </w:r>
            <w:r w:rsidR="00B821F0">
              <w:t xml:space="preserve"> </w:t>
            </w:r>
            <w:r>
              <w:t>/ 1 per slot</w:t>
            </w:r>
            <w:r w:rsidR="00A34EA3">
              <w:t xml:space="preserve"> (Alt. 2)</w:t>
            </w:r>
          </w:p>
        </w:tc>
      </w:tr>
      <w:tr w:rsidR="004D74EF" w14:paraId="3881002E" w14:textId="77777777" w:rsidTr="003C68FF">
        <w:tc>
          <w:tcPr>
            <w:tcW w:w="2407" w:type="dxa"/>
            <w:vMerge/>
          </w:tcPr>
          <w:p w14:paraId="768FE692" w14:textId="2CE479C4" w:rsidR="00A21443" w:rsidRDefault="00A21443" w:rsidP="0047458F"/>
        </w:tc>
        <w:tc>
          <w:tcPr>
            <w:tcW w:w="2407" w:type="dxa"/>
          </w:tcPr>
          <w:p w14:paraId="26AC1D7E" w14:textId="2CBB6A29" w:rsidR="004D74EF" w:rsidRDefault="00A21443" w:rsidP="0047458F">
            <w:r>
              <w:t>Modulation</w:t>
            </w:r>
          </w:p>
        </w:tc>
        <w:tc>
          <w:tcPr>
            <w:tcW w:w="4815" w:type="dxa"/>
          </w:tcPr>
          <w:p w14:paraId="33F426CB" w14:textId="17E47F21" w:rsidR="004D74EF" w:rsidRDefault="004D74EF" w:rsidP="0047458F">
            <w:r>
              <w:t>QPSK</w:t>
            </w:r>
          </w:p>
        </w:tc>
      </w:tr>
      <w:tr w:rsidR="0047458F" w14:paraId="5CE6F195" w14:textId="77777777" w:rsidTr="003C68FF">
        <w:tc>
          <w:tcPr>
            <w:tcW w:w="2407" w:type="dxa"/>
            <w:vMerge w:val="restart"/>
          </w:tcPr>
          <w:p w14:paraId="3A1B74F7" w14:textId="2893147B" w:rsidR="00A21443" w:rsidRDefault="00A21443" w:rsidP="00A21443">
            <w:r>
              <w:t>PSSCH</w:t>
            </w:r>
          </w:p>
        </w:tc>
        <w:tc>
          <w:tcPr>
            <w:tcW w:w="2407" w:type="dxa"/>
          </w:tcPr>
          <w:p w14:paraId="61BE925F" w14:textId="360AA0D1" w:rsidR="0047458F" w:rsidRDefault="00A21443" w:rsidP="0047458F">
            <w:r>
              <w:t>Allocation</w:t>
            </w:r>
            <w:r w:rsidR="0047458F">
              <w:t xml:space="preserve"> (including overhead)</w:t>
            </w:r>
          </w:p>
        </w:tc>
        <w:tc>
          <w:tcPr>
            <w:tcW w:w="4815" w:type="dxa"/>
          </w:tcPr>
          <w:p w14:paraId="7DEC9045" w14:textId="105C9710" w:rsidR="0047458F" w:rsidRDefault="0047458F" w:rsidP="0047458F">
            <w:r>
              <w:t>9 OFDM symbols, 1 sub-band (if PSCCH is transmitted in the same slot)</w:t>
            </w:r>
          </w:p>
          <w:p w14:paraId="67024391" w14:textId="28CCC473" w:rsidR="0047458F" w:rsidRDefault="0047458F" w:rsidP="0047458F">
            <w:r>
              <w:t xml:space="preserve">14 OFDM symbols, 1 sub-band (if PSCCH is </w:t>
            </w:r>
            <w:r w:rsidR="00A21443">
              <w:t xml:space="preserve">not </w:t>
            </w:r>
            <w:r>
              <w:t>transmitted in the same slot)</w:t>
            </w:r>
          </w:p>
        </w:tc>
      </w:tr>
      <w:tr w:rsidR="004D74EF" w14:paraId="6F0ADE51" w14:textId="77777777" w:rsidTr="003C68FF">
        <w:tc>
          <w:tcPr>
            <w:tcW w:w="2407" w:type="dxa"/>
            <w:vMerge/>
          </w:tcPr>
          <w:p w14:paraId="3D1371ED" w14:textId="5571B66F" w:rsidR="00A21443" w:rsidRDefault="00A21443" w:rsidP="00A21443"/>
        </w:tc>
        <w:tc>
          <w:tcPr>
            <w:tcW w:w="2407" w:type="dxa"/>
          </w:tcPr>
          <w:p w14:paraId="310E4C0F" w14:textId="15BDDD50" w:rsidR="004D74EF" w:rsidRDefault="007F1265" w:rsidP="0047458F">
            <w:r>
              <w:t>Transmissions per TB</w:t>
            </w:r>
          </w:p>
        </w:tc>
        <w:tc>
          <w:tcPr>
            <w:tcW w:w="4815" w:type="dxa"/>
          </w:tcPr>
          <w:p w14:paraId="0C8896B9" w14:textId="41A0EB5A" w:rsidR="004D74EF" w:rsidRDefault="00A21443" w:rsidP="0047458F">
            <w:r>
              <w:t>1</w:t>
            </w:r>
          </w:p>
        </w:tc>
      </w:tr>
      <w:tr w:rsidR="00A21443" w14:paraId="062CFB6A" w14:textId="77777777" w:rsidTr="003C68FF">
        <w:tc>
          <w:tcPr>
            <w:tcW w:w="2407" w:type="dxa"/>
            <w:vMerge/>
          </w:tcPr>
          <w:p w14:paraId="4EB052BD" w14:textId="77777777" w:rsidR="00A21443" w:rsidRDefault="00A21443" w:rsidP="00A21443"/>
        </w:tc>
        <w:tc>
          <w:tcPr>
            <w:tcW w:w="2407" w:type="dxa"/>
          </w:tcPr>
          <w:p w14:paraId="5D630170" w14:textId="2BD954DD" w:rsidR="00A21443" w:rsidRDefault="00A21443" w:rsidP="00A21443">
            <w:r>
              <w:t>Modulation</w:t>
            </w:r>
          </w:p>
        </w:tc>
        <w:tc>
          <w:tcPr>
            <w:tcW w:w="4815" w:type="dxa"/>
          </w:tcPr>
          <w:p w14:paraId="3A3B0B4A" w14:textId="52AF1E16" w:rsidR="00A21443" w:rsidRDefault="00A21443" w:rsidP="00A21443">
            <w:r>
              <w:t>16-QAM</w:t>
            </w:r>
          </w:p>
        </w:tc>
      </w:tr>
      <w:tr w:rsidR="0047458F" w14:paraId="67A0559A" w14:textId="77777777" w:rsidTr="005D6171">
        <w:tc>
          <w:tcPr>
            <w:tcW w:w="4814" w:type="dxa"/>
            <w:gridSpan w:val="2"/>
          </w:tcPr>
          <w:p w14:paraId="22CECE27" w14:textId="0746ECAA" w:rsidR="0047458F" w:rsidRDefault="0047458F" w:rsidP="0047458F">
            <w:r>
              <w:t>Overhead (for both PSSCH and PSCCH)</w:t>
            </w:r>
          </w:p>
        </w:tc>
        <w:tc>
          <w:tcPr>
            <w:tcW w:w="4815" w:type="dxa"/>
          </w:tcPr>
          <w:p w14:paraId="72C76CA8" w14:textId="1FE3A05A" w:rsidR="0047458F" w:rsidRDefault="0047458F" w:rsidP="0047458F">
            <w:r>
              <w:t>6/14 (GP, DMRS, AGC)</w:t>
            </w:r>
          </w:p>
        </w:tc>
      </w:tr>
      <w:tr w:rsidR="0047458F" w14:paraId="49267E8A" w14:textId="77777777" w:rsidTr="005D6171">
        <w:tc>
          <w:tcPr>
            <w:tcW w:w="4814" w:type="dxa"/>
            <w:gridSpan w:val="2"/>
          </w:tcPr>
          <w:p w14:paraId="0D00D66E" w14:textId="6914A459" w:rsidR="0047458F" w:rsidRDefault="00334EBA" w:rsidP="0047458F">
            <w:r>
              <w:t>LBT b</w:t>
            </w:r>
            <w:r w:rsidR="00A21443">
              <w:t>ack</w:t>
            </w:r>
            <w:r w:rsidR="0047458F">
              <w:t>-off window</w:t>
            </w:r>
          </w:p>
        </w:tc>
        <w:tc>
          <w:tcPr>
            <w:tcW w:w="4815" w:type="dxa"/>
          </w:tcPr>
          <w:p w14:paraId="742EF97F" w14:textId="15C82103" w:rsidR="0047458F" w:rsidRDefault="0047458F" w:rsidP="0047458F">
            <w:r>
              <w:t>10 slots</w:t>
            </w:r>
          </w:p>
        </w:tc>
      </w:tr>
    </w:tbl>
    <w:p w14:paraId="420C461D" w14:textId="77777777" w:rsidR="00883B92" w:rsidRPr="00883B92" w:rsidRDefault="00883B92" w:rsidP="003C68FF"/>
    <w:sectPr w:rsidR="00883B92" w:rsidRPr="00883B92" w:rsidSect="00DB0DA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D2EF6" w14:textId="77777777" w:rsidR="00A978F8" w:rsidRDefault="00A978F8">
      <w:r>
        <w:separator/>
      </w:r>
    </w:p>
  </w:endnote>
  <w:endnote w:type="continuationSeparator" w:id="0">
    <w:p w14:paraId="7BED8148" w14:textId="77777777" w:rsidR="00A978F8" w:rsidRDefault="00A978F8">
      <w:r>
        <w:continuationSeparator/>
      </w:r>
    </w:p>
  </w:endnote>
  <w:endnote w:type="continuationNotice" w:id="1">
    <w:p w14:paraId="5EA34F7B" w14:textId="77777777" w:rsidR="00A978F8" w:rsidRDefault="00A97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E6FAD" w14:textId="77777777" w:rsidR="00A978F8" w:rsidRDefault="00A978F8">
      <w:r>
        <w:separator/>
      </w:r>
    </w:p>
  </w:footnote>
  <w:footnote w:type="continuationSeparator" w:id="0">
    <w:p w14:paraId="7ED9A9EE" w14:textId="77777777" w:rsidR="00A978F8" w:rsidRDefault="00A978F8">
      <w:r>
        <w:continuationSeparator/>
      </w:r>
    </w:p>
  </w:footnote>
  <w:footnote w:type="continuationNotice" w:id="1">
    <w:p w14:paraId="13CF6022" w14:textId="77777777" w:rsidR="00A978F8" w:rsidRDefault="00A978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CD6431"/>
    <w:multiLevelType w:val="hybridMultilevel"/>
    <w:tmpl w:val="F3548ABA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93066D"/>
    <w:multiLevelType w:val="hybridMultilevel"/>
    <w:tmpl w:val="7A00D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24791F"/>
    <w:multiLevelType w:val="hybridMultilevel"/>
    <w:tmpl w:val="B972F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CD0F38"/>
    <w:multiLevelType w:val="hybridMultilevel"/>
    <w:tmpl w:val="F03C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E7CA2"/>
    <w:multiLevelType w:val="hybridMultilevel"/>
    <w:tmpl w:val="443C1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8F28CA"/>
    <w:multiLevelType w:val="hybridMultilevel"/>
    <w:tmpl w:val="1E04C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92B83"/>
    <w:multiLevelType w:val="hybridMultilevel"/>
    <w:tmpl w:val="D1DA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2"/>
  </w:num>
  <w:num w:numId="22">
    <w:abstractNumId w:val="25"/>
  </w:num>
  <w:num w:numId="23">
    <w:abstractNumId w:val="28"/>
  </w:num>
  <w:num w:numId="24">
    <w:abstractNumId w:val="22"/>
  </w:num>
  <w:num w:numId="25">
    <w:abstractNumId w:val="13"/>
  </w:num>
  <w:num w:numId="26">
    <w:abstractNumId w:val="8"/>
  </w:num>
  <w:num w:numId="27">
    <w:abstractNumId w:val="27"/>
  </w:num>
  <w:num w:numId="28">
    <w:abstractNumId w:val="17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8B5"/>
    <w:rsid w:val="00002A37"/>
    <w:rsid w:val="0000564C"/>
    <w:rsid w:val="00006446"/>
    <w:rsid w:val="00006691"/>
    <w:rsid w:val="00006896"/>
    <w:rsid w:val="00007CDC"/>
    <w:rsid w:val="00011B28"/>
    <w:rsid w:val="00015D15"/>
    <w:rsid w:val="00017AB6"/>
    <w:rsid w:val="00024E69"/>
    <w:rsid w:val="0002564D"/>
    <w:rsid w:val="00025ECA"/>
    <w:rsid w:val="000325B8"/>
    <w:rsid w:val="00034C15"/>
    <w:rsid w:val="00036BA1"/>
    <w:rsid w:val="000422E2"/>
    <w:rsid w:val="00042F22"/>
    <w:rsid w:val="00044181"/>
    <w:rsid w:val="000444EF"/>
    <w:rsid w:val="000476C2"/>
    <w:rsid w:val="00052A07"/>
    <w:rsid w:val="000534E3"/>
    <w:rsid w:val="0005606A"/>
    <w:rsid w:val="00057117"/>
    <w:rsid w:val="000616E7"/>
    <w:rsid w:val="000621C7"/>
    <w:rsid w:val="0006487E"/>
    <w:rsid w:val="00065E1A"/>
    <w:rsid w:val="00072E9D"/>
    <w:rsid w:val="00077E5F"/>
    <w:rsid w:val="0008036A"/>
    <w:rsid w:val="00081AE6"/>
    <w:rsid w:val="000855EB"/>
    <w:rsid w:val="00085B52"/>
    <w:rsid w:val="000866F2"/>
    <w:rsid w:val="00086E08"/>
    <w:rsid w:val="0009009F"/>
    <w:rsid w:val="00091557"/>
    <w:rsid w:val="0009200C"/>
    <w:rsid w:val="000924C1"/>
    <w:rsid w:val="000924F0"/>
    <w:rsid w:val="00093474"/>
    <w:rsid w:val="0009510F"/>
    <w:rsid w:val="0009521C"/>
    <w:rsid w:val="000A1B7B"/>
    <w:rsid w:val="000A56F2"/>
    <w:rsid w:val="000B2719"/>
    <w:rsid w:val="000B2866"/>
    <w:rsid w:val="000B3A8F"/>
    <w:rsid w:val="000B4AB9"/>
    <w:rsid w:val="000B58C3"/>
    <w:rsid w:val="000B61E9"/>
    <w:rsid w:val="000B75D7"/>
    <w:rsid w:val="000C165A"/>
    <w:rsid w:val="000C2E19"/>
    <w:rsid w:val="000D0486"/>
    <w:rsid w:val="000D0D07"/>
    <w:rsid w:val="000D4797"/>
    <w:rsid w:val="000E0527"/>
    <w:rsid w:val="000E1E92"/>
    <w:rsid w:val="000E4DE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915"/>
    <w:rsid w:val="00110F81"/>
    <w:rsid w:val="00113063"/>
    <w:rsid w:val="00113CF4"/>
    <w:rsid w:val="001144EC"/>
    <w:rsid w:val="001153EA"/>
    <w:rsid w:val="00115643"/>
    <w:rsid w:val="00116765"/>
    <w:rsid w:val="001219F5"/>
    <w:rsid w:val="00121A20"/>
    <w:rsid w:val="0012377F"/>
    <w:rsid w:val="00124314"/>
    <w:rsid w:val="00125F29"/>
    <w:rsid w:val="00126888"/>
    <w:rsid w:val="00126B4A"/>
    <w:rsid w:val="001315D8"/>
    <w:rsid w:val="00132FD0"/>
    <w:rsid w:val="001344C0"/>
    <w:rsid w:val="001346FA"/>
    <w:rsid w:val="00135252"/>
    <w:rsid w:val="0013549A"/>
    <w:rsid w:val="001377BA"/>
    <w:rsid w:val="00137AB5"/>
    <w:rsid w:val="00137F0B"/>
    <w:rsid w:val="0015147D"/>
    <w:rsid w:val="00151E23"/>
    <w:rsid w:val="001526E0"/>
    <w:rsid w:val="00152E77"/>
    <w:rsid w:val="001551B5"/>
    <w:rsid w:val="001659C1"/>
    <w:rsid w:val="00173A8E"/>
    <w:rsid w:val="0017502C"/>
    <w:rsid w:val="0018143F"/>
    <w:rsid w:val="00181FF8"/>
    <w:rsid w:val="00190AC1"/>
    <w:rsid w:val="0019341A"/>
    <w:rsid w:val="00196620"/>
    <w:rsid w:val="00197DF9"/>
    <w:rsid w:val="001A1987"/>
    <w:rsid w:val="001A23B2"/>
    <w:rsid w:val="001A2564"/>
    <w:rsid w:val="001A6173"/>
    <w:rsid w:val="001A6CBA"/>
    <w:rsid w:val="001B0D97"/>
    <w:rsid w:val="001B2841"/>
    <w:rsid w:val="001B5A5D"/>
    <w:rsid w:val="001C1CE5"/>
    <w:rsid w:val="001C3D2A"/>
    <w:rsid w:val="001C5CB6"/>
    <w:rsid w:val="001D2A94"/>
    <w:rsid w:val="001D51BA"/>
    <w:rsid w:val="001D53E7"/>
    <w:rsid w:val="001D6342"/>
    <w:rsid w:val="001D6D53"/>
    <w:rsid w:val="001E4E22"/>
    <w:rsid w:val="001E58E2"/>
    <w:rsid w:val="001E7AED"/>
    <w:rsid w:val="001F0E02"/>
    <w:rsid w:val="001F3916"/>
    <w:rsid w:val="001F45BC"/>
    <w:rsid w:val="001F54C5"/>
    <w:rsid w:val="001F662C"/>
    <w:rsid w:val="001F7074"/>
    <w:rsid w:val="001F7FD0"/>
    <w:rsid w:val="00200490"/>
    <w:rsid w:val="00201F3A"/>
    <w:rsid w:val="00203F96"/>
    <w:rsid w:val="002069B2"/>
    <w:rsid w:val="00207FA3"/>
    <w:rsid w:val="0021074C"/>
    <w:rsid w:val="002130BE"/>
    <w:rsid w:val="00214C56"/>
    <w:rsid w:val="00214DA8"/>
    <w:rsid w:val="00215423"/>
    <w:rsid w:val="002158FA"/>
    <w:rsid w:val="00216037"/>
    <w:rsid w:val="00220600"/>
    <w:rsid w:val="002224DB"/>
    <w:rsid w:val="00223FCB"/>
    <w:rsid w:val="002252C3"/>
    <w:rsid w:val="00225C54"/>
    <w:rsid w:val="00230765"/>
    <w:rsid w:val="00230D18"/>
    <w:rsid w:val="002319E4"/>
    <w:rsid w:val="00233DBB"/>
    <w:rsid w:val="00235632"/>
    <w:rsid w:val="00235872"/>
    <w:rsid w:val="00241559"/>
    <w:rsid w:val="002435B3"/>
    <w:rsid w:val="002458EB"/>
    <w:rsid w:val="002460CE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0C6"/>
    <w:rsid w:val="00277904"/>
    <w:rsid w:val="002805F5"/>
    <w:rsid w:val="00280751"/>
    <w:rsid w:val="0028280A"/>
    <w:rsid w:val="00286ACD"/>
    <w:rsid w:val="00287838"/>
    <w:rsid w:val="002907B5"/>
    <w:rsid w:val="00292EB7"/>
    <w:rsid w:val="00294E9A"/>
    <w:rsid w:val="00296227"/>
    <w:rsid w:val="00296F44"/>
    <w:rsid w:val="0029777D"/>
    <w:rsid w:val="002A055E"/>
    <w:rsid w:val="002A1D4E"/>
    <w:rsid w:val="002A2869"/>
    <w:rsid w:val="002A2CA3"/>
    <w:rsid w:val="002A6619"/>
    <w:rsid w:val="002B24D6"/>
    <w:rsid w:val="002B4B90"/>
    <w:rsid w:val="002B7C3F"/>
    <w:rsid w:val="002C41E6"/>
    <w:rsid w:val="002D071A"/>
    <w:rsid w:val="002D22DC"/>
    <w:rsid w:val="002D34B2"/>
    <w:rsid w:val="002D48B0"/>
    <w:rsid w:val="002D4F4C"/>
    <w:rsid w:val="002D5B37"/>
    <w:rsid w:val="002D7637"/>
    <w:rsid w:val="002E17F2"/>
    <w:rsid w:val="002E7CAE"/>
    <w:rsid w:val="002F0152"/>
    <w:rsid w:val="002F2771"/>
    <w:rsid w:val="002F37A9"/>
    <w:rsid w:val="002F41D7"/>
    <w:rsid w:val="00301CE6"/>
    <w:rsid w:val="0030256B"/>
    <w:rsid w:val="0030501F"/>
    <w:rsid w:val="00305C33"/>
    <w:rsid w:val="00307BA1"/>
    <w:rsid w:val="00311702"/>
    <w:rsid w:val="003118E7"/>
    <w:rsid w:val="00311E23"/>
    <w:rsid w:val="00311E82"/>
    <w:rsid w:val="00313FD6"/>
    <w:rsid w:val="003143BD"/>
    <w:rsid w:val="00315363"/>
    <w:rsid w:val="003203ED"/>
    <w:rsid w:val="00321C98"/>
    <w:rsid w:val="00322C9F"/>
    <w:rsid w:val="00324D23"/>
    <w:rsid w:val="00331751"/>
    <w:rsid w:val="00334579"/>
    <w:rsid w:val="00334582"/>
    <w:rsid w:val="00334EBA"/>
    <w:rsid w:val="00335858"/>
    <w:rsid w:val="00336BC5"/>
    <w:rsid w:val="00336BDA"/>
    <w:rsid w:val="00342BD7"/>
    <w:rsid w:val="00346DB5"/>
    <w:rsid w:val="003477B1"/>
    <w:rsid w:val="003479AB"/>
    <w:rsid w:val="00351356"/>
    <w:rsid w:val="00357380"/>
    <w:rsid w:val="003602D9"/>
    <w:rsid w:val="003604CE"/>
    <w:rsid w:val="00362E96"/>
    <w:rsid w:val="00363CDD"/>
    <w:rsid w:val="00370E47"/>
    <w:rsid w:val="003714CB"/>
    <w:rsid w:val="003742AC"/>
    <w:rsid w:val="00377657"/>
    <w:rsid w:val="00377CE1"/>
    <w:rsid w:val="00385BF0"/>
    <w:rsid w:val="00387C16"/>
    <w:rsid w:val="003912A1"/>
    <w:rsid w:val="003939FF"/>
    <w:rsid w:val="00397194"/>
    <w:rsid w:val="00397F9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AEC"/>
    <w:rsid w:val="003B64BB"/>
    <w:rsid w:val="003B7FE5"/>
    <w:rsid w:val="003C11C8"/>
    <w:rsid w:val="003C2702"/>
    <w:rsid w:val="003C3DE0"/>
    <w:rsid w:val="003C68FF"/>
    <w:rsid w:val="003C7806"/>
    <w:rsid w:val="003C7AE1"/>
    <w:rsid w:val="003D109F"/>
    <w:rsid w:val="003D23F9"/>
    <w:rsid w:val="003D2478"/>
    <w:rsid w:val="003D3C45"/>
    <w:rsid w:val="003D5B1F"/>
    <w:rsid w:val="003D5DE0"/>
    <w:rsid w:val="003E15FA"/>
    <w:rsid w:val="003E467E"/>
    <w:rsid w:val="003E55E4"/>
    <w:rsid w:val="003E74E3"/>
    <w:rsid w:val="003F05C7"/>
    <w:rsid w:val="003F16CC"/>
    <w:rsid w:val="003F2CD4"/>
    <w:rsid w:val="003F6185"/>
    <w:rsid w:val="003F6BBE"/>
    <w:rsid w:val="004000E8"/>
    <w:rsid w:val="00400CF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63CD"/>
    <w:rsid w:val="00427248"/>
    <w:rsid w:val="00437447"/>
    <w:rsid w:val="00441A92"/>
    <w:rsid w:val="004431DC"/>
    <w:rsid w:val="00444F56"/>
    <w:rsid w:val="00446488"/>
    <w:rsid w:val="004517AA"/>
    <w:rsid w:val="00452CAC"/>
    <w:rsid w:val="00454620"/>
    <w:rsid w:val="00457565"/>
    <w:rsid w:val="00457B71"/>
    <w:rsid w:val="004669E2"/>
    <w:rsid w:val="00470C31"/>
    <w:rsid w:val="00471DE0"/>
    <w:rsid w:val="004734D0"/>
    <w:rsid w:val="0047458F"/>
    <w:rsid w:val="0047556B"/>
    <w:rsid w:val="0047588B"/>
    <w:rsid w:val="00477768"/>
    <w:rsid w:val="00484771"/>
    <w:rsid w:val="00486F1D"/>
    <w:rsid w:val="00492BC5"/>
    <w:rsid w:val="004964F1"/>
    <w:rsid w:val="004970B9"/>
    <w:rsid w:val="004A16BC"/>
    <w:rsid w:val="004A2B94"/>
    <w:rsid w:val="004B6F6A"/>
    <w:rsid w:val="004B7C0C"/>
    <w:rsid w:val="004C3898"/>
    <w:rsid w:val="004C3D2C"/>
    <w:rsid w:val="004D36B1"/>
    <w:rsid w:val="004D74EF"/>
    <w:rsid w:val="004D7EBD"/>
    <w:rsid w:val="004E2680"/>
    <w:rsid w:val="004E28F9"/>
    <w:rsid w:val="004E462E"/>
    <w:rsid w:val="004E56DC"/>
    <w:rsid w:val="004E76F4"/>
    <w:rsid w:val="004E7AA9"/>
    <w:rsid w:val="004F0B4E"/>
    <w:rsid w:val="004F0B6C"/>
    <w:rsid w:val="004F2078"/>
    <w:rsid w:val="004F338A"/>
    <w:rsid w:val="004F4DA3"/>
    <w:rsid w:val="004F529C"/>
    <w:rsid w:val="00500119"/>
    <w:rsid w:val="00506557"/>
    <w:rsid w:val="0050677A"/>
    <w:rsid w:val="005108D8"/>
    <w:rsid w:val="005116F9"/>
    <w:rsid w:val="005128F4"/>
    <w:rsid w:val="005153A7"/>
    <w:rsid w:val="005219CF"/>
    <w:rsid w:val="00521A14"/>
    <w:rsid w:val="00524A76"/>
    <w:rsid w:val="00531153"/>
    <w:rsid w:val="00534B59"/>
    <w:rsid w:val="00536759"/>
    <w:rsid w:val="00537C62"/>
    <w:rsid w:val="00540ACC"/>
    <w:rsid w:val="00544E56"/>
    <w:rsid w:val="00546970"/>
    <w:rsid w:val="00547E0B"/>
    <w:rsid w:val="00551B93"/>
    <w:rsid w:val="00554E19"/>
    <w:rsid w:val="00555274"/>
    <w:rsid w:val="0056121F"/>
    <w:rsid w:val="005703F7"/>
    <w:rsid w:val="005710C6"/>
    <w:rsid w:val="00572505"/>
    <w:rsid w:val="00582809"/>
    <w:rsid w:val="00584263"/>
    <w:rsid w:val="0058798C"/>
    <w:rsid w:val="005900FA"/>
    <w:rsid w:val="005935A4"/>
    <w:rsid w:val="0059379D"/>
    <w:rsid w:val="005948C2"/>
    <w:rsid w:val="00595DCA"/>
    <w:rsid w:val="005964F1"/>
    <w:rsid w:val="0059779B"/>
    <w:rsid w:val="005A209A"/>
    <w:rsid w:val="005A662D"/>
    <w:rsid w:val="005B1231"/>
    <w:rsid w:val="005B1409"/>
    <w:rsid w:val="005B35D7"/>
    <w:rsid w:val="005B392A"/>
    <w:rsid w:val="005B3AA3"/>
    <w:rsid w:val="005B40EF"/>
    <w:rsid w:val="005B6E04"/>
    <w:rsid w:val="005B6F83"/>
    <w:rsid w:val="005C74FB"/>
    <w:rsid w:val="005C7676"/>
    <w:rsid w:val="005D04AB"/>
    <w:rsid w:val="005D1602"/>
    <w:rsid w:val="005D6171"/>
    <w:rsid w:val="005E385F"/>
    <w:rsid w:val="005E5B81"/>
    <w:rsid w:val="005F2CB1"/>
    <w:rsid w:val="005F3025"/>
    <w:rsid w:val="005F618C"/>
    <w:rsid w:val="005F70BD"/>
    <w:rsid w:val="005F7B6E"/>
    <w:rsid w:val="0060283C"/>
    <w:rsid w:val="00604A65"/>
    <w:rsid w:val="00604F14"/>
    <w:rsid w:val="00611B83"/>
    <w:rsid w:val="00613257"/>
    <w:rsid w:val="00615568"/>
    <w:rsid w:val="00617C5C"/>
    <w:rsid w:val="00620A71"/>
    <w:rsid w:val="00620D80"/>
    <w:rsid w:val="00623195"/>
    <w:rsid w:val="006234A6"/>
    <w:rsid w:val="006248DB"/>
    <w:rsid w:val="00624D9D"/>
    <w:rsid w:val="00630001"/>
    <w:rsid w:val="00630BD6"/>
    <w:rsid w:val="006311B3"/>
    <w:rsid w:val="0063284C"/>
    <w:rsid w:val="006333D2"/>
    <w:rsid w:val="00636398"/>
    <w:rsid w:val="006368D3"/>
    <w:rsid w:val="006377EC"/>
    <w:rsid w:val="006403C1"/>
    <w:rsid w:val="00640402"/>
    <w:rsid w:val="0064151F"/>
    <w:rsid w:val="00641533"/>
    <w:rsid w:val="0064208D"/>
    <w:rsid w:val="00643475"/>
    <w:rsid w:val="0064396A"/>
    <w:rsid w:val="0064624E"/>
    <w:rsid w:val="0065045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8D"/>
    <w:rsid w:val="00674CC3"/>
    <w:rsid w:val="00675C72"/>
    <w:rsid w:val="00675F3B"/>
    <w:rsid w:val="006771F9"/>
    <w:rsid w:val="006776D7"/>
    <w:rsid w:val="0068002F"/>
    <w:rsid w:val="00681003"/>
    <w:rsid w:val="006817C9"/>
    <w:rsid w:val="00683112"/>
    <w:rsid w:val="00683ECE"/>
    <w:rsid w:val="00695FC2"/>
    <w:rsid w:val="00696949"/>
    <w:rsid w:val="00697052"/>
    <w:rsid w:val="006A020C"/>
    <w:rsid w:val="006A2C76"/>
    <w:rsid w:val="006A46FB"/>
    <w:rsid w:val="006A5E28"/>
    <w:rsid w:val="006A697B"/>
    <w:rsid w:val="006A7AFF"/>
    <w:rsid w:val="006B00B7"/>
    <w:rsid w:val="006B1816"/>
    <w:rsid w:val="006B2099"/>
    <w:rsid w:val="006B50CF"/>
    <w:rsid w:val="006C03B8"/>
    <w:rsid w:val="006C2624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069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9FD"/>
    <w:rsid w:val="00724450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8"/>
    <w:rsid w:val="00747D8B"/>
    <w:rsid w:val="00751228"/>
    <w:rsid w:val="007571E1"/>
    <w:rsid w:val="007604B2"/>
    <w:rsid w:val="007647B4"/>
    <w:rsid w:val="00765281"/>
    <w:rsid w:val="00766BAD"/>
    <w:rsid w:val="00771228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473"/>
    <w:rsid w:val="007A1CB3"/>
    <w:rsid w:val="007A306F"/>
    <w:rsid w:val="007A43A6"/>
    <w:rsid w:val="007A58A6"/>
    <w:rsid w:val="007B3D2D"/>
    <w:rsid w:val="007B4B7A"/>
    <w:rsid w:val="007B50AE"/>
    <w:rsid w:val="007B51DF"/>
    <w:rsid w:val="007C05DD"/>
    <w:rsid w:val="007C37AF"/>
    <w:rsid w:val="007C3D18"/>
    <w:rsid w:val="007C60BF"/>
    <w:rsid w:val="007C6A07"/>
    <w:rsid w:val="007C70EC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B03"/>
    <w:rsid w:val="007F1265"/>
    <w:rsid w:val="00803FAE"/>
    <w:rsid w:val="00805D86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918"/>
    <w:rsid w:val="00827D6F"/>
    <w:rsid w:val="00833E82"/>
    <w:rsid w:val="00835F53"/>
    <w:rsid w:val="008376AC"/>
    <w:rsid w:val="00843099"/>
    <w:rsid w:val="008444E8"/>
    <w:rsid w:val="00844E80"/>
    <w:rsid w:val="00846FE7"/>
    <w:rsid w:val="008510DF"/>
    <w:rsid w:val="00856911"/>
    <w:rsid w:val="00856C2B"/>
    <w:rsid w:val="008677FD"/>
    <w:rsid w:val="008706D4"/>
    <w:rsid w:val="00870F8A"/>
    <w:rsid w:val="008719A4"/>
    <w:rsid w:val="00871D23"/>
    <w:rsid w:val="00874312"/>
    <w:rsid w:val="0087437C"/>
    <w:rsid w:val="008759ED"/>
    <w:rsid w:val="00875CD7"/>
    <w:rsid w:val="008768BE"/>
    <w:rsid w:val="00876B4D"/>
    <w:rsid w:val="00877F18"/>
    <w:rsid w:val="00880F2B"/>
    <w:rsid w:val="00883B92"/>
    <w:rsid w:val="0089115D"/>
    <w:rsid w:val="008941E3"/>
    <w:rsid w:val="00894A88"/>
    <w:rsid w:val="00895386"/>
    <w:rsid w:val="008966C2"/>
    <w:rsid w:val="008A21FF"/>
    <w:rsid w:val="008A2CE2"/>
    <w:rsid w:val="008A30AC"/>
    <w:rsid w:val="008A32EE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C79"/>
    <w:rsid w:val="008C0C99"/>
    <w:rsid w:val="008C1B40"/>
    <w:rsid w:val="008C2017"/>
    <w:rsid w:val="008C2365"/>
    <w:rsid w:val="008C4958"/>
    <w:rsid w:val="008C4BAA"/>
    <w:rsid w:val="008C6AE8"/>
    <w:rsid w:val="008C7573"/>
    <w:rsid w:val="008D00A5"/>
    <w:rsid w:val="008D1878"/>
    <w:rsid w:val="008D1E88"/>
    <w:rsid w:val="008D34F1"/>
    <w:rsid w:val="008D39D8"/>
    <w:rsid w:val="008D6D1A"/>
    <w:rsid w:val="008E065E"/>
    <w:rsid w:val="008E0927"/>
    <w:rsid w:val="008E1713"/>
    <w:rsid w:val="008E1909"/>
    <w:rsid w:val="008E27CE"/>
    <w:rsid w:val="008E4679"/>
    <w:rsid w:val="008F1C4E"/>
    <w:rsid w:val="008F1EAB"/>
    <w:rsid w:val="008F33DC"/>
    <w:rsid w:val="008F477F"/>
    <w:rsid w:val="008F6E50"/>
    <w:rsid w:val="00902350"/>
    <w:rsid w:val="0090336B"/>
    <w:rsid w:val="009053AA"/>
    <w:rsid w:val="00906939"/>
    <w:rsid w:val="00910B7D"/>
    <w:rsid w:val="009115FD"/>
    <w:rsid w:val="00911DFB"/>
    <w:rsid w:val="009139D9"/>
    <w:rsid w:val="00914AD8"/>
    <w:rsid w:val="009156D1"/>
    <w:rsid w:val="00916079"/>
    <w:rsid w:val="009179C6"/>
    <w:rsid w:val="00917CE9"/>
    <w:rsid w:val="00920BF2"/>
    <w:rsid w:val="00922010"/>
    <w:rsid w:val="00924D85"/>
    <w:rsid w:val="00931BD9"/>
    <w:rsid w:val="00933288"/>
    <w:rsid w:val="009368F3"/>
    <w:rsid w:val="00941636"/>
    <w:rsid w:val="00943742"/>
    <w:rsid w:val="00945797"/>
    <w:rsid w:val="00945C05"/>
    <w:rsid w:val="00946945"/>
    <w:rsid w:val="00947713"/>
    <w:rsid w:val="00950856"/>
    <w:rsid w:val="00950DE7"/>
    <w:rsid w:val="00951711"/>
    <w:rsid w:val="00953920"/>
    <w:rsid w:val="00953D47"/>
    <w:rsid w:val="00955A37"/>
    <w:rsid w:val="0095681E"/>
    <w:rsid w:val="009572D4"/>
    <w:rsid w:val="00961921"/>
    <w:rsid w:val="0096430A"/>
    <w:rsid w:val="0096554B"/>
    <w:rsid w:val="0096584A"/>
    <w:rsid w:val="0097080C"/>
    <w:rsid w:val="00971F08"/>
    <w:rsid w:val="0097603D"/>
    <w:rsid w:val="00976949"/>
    <w:rsid w:val="00980477"/>
    <w:rsid w:val="00983CB4"/>
    <w:rsid w:val="00984CFE"/>
    <w:rsid w:val="00985253"/>
    <w:rsid w:val="009853B3"/>
    <w:rsid w:val="00990630"/>
    <w:rsid w:val="00991761"/>
    <w:rsid w:val="00992755"/>
    <w:rsid w:val="00993FFE"/>
    <w:rsid w:val="00994DCA"/>
    <w:rsid w:val="009960EC"/>
    <w:rsid w:val="009970DD"/>
    <w:rsid w:val="00997E8B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A81"/>
    <w:rsid w:val="009B7E87"/>
    <w:rsid w:val="009C0169"/>
    <w:rsid w:val="009C403E"/>
    <w:rsid w:val="009D1C2E"/>
    <w:rsid w:val="009D4FF0"/>
    <w:rsid w:val="009D703C"/>
    <w:rsid w:val="009D718F"/>
    <w:rsid w:val="009E068F"/>
    <w:rsid w:val="009E14E0"/>
    <w:rsid w:val="009E35DB"/>
    <w:rsid w:val="009E3A95"/>
    <w:rsid w:val="009E47A3"/>
    <w:rsid w:val="009F08F3"/>
    <w:rsid w:val="009F344F"/>
    <w:rsid w:val="00A031D8"/>
    <w:rsid w:val="00A048A8"/>
    <w:rsid w:val="00A04F49"/>
    <w:rsid w:val="00A06EF5"/>
    <w:rsid w:val="00A07883"/>
    <w:rsid w:val="00A104D8"/>
    <w:rsid w:val="00A110CF"/>
    <w:rsid w:val="00A13E54"/>
    <w:rsid w:val="00A15A0B"/>
    <w:rsid w:val="00A17F63"/>
    <w:rsid w:val="00A21443"/>
    <w:rsid w:val="00A2193B"/>
    <w:rsid w:val="00A2351A"/>
    <w:rsid w:val="00A264A9"/>
    <w:rsid w:val="00A26DCF"/>
    <w:rsid w:val="00A27785"/>
    <w:rsid w:val="00A27CC6"/>
    <w:rsid w:val="00A30187"/>
    <w:rsid w:val="00A30FDE"/>
    <w:rsid w:val="00A3448A"/>
    <w:rsid w:val="00A34EA3"/>
    <w:rsid w:val="00A36297"/>
    <w:rsid w:val="00A41E2B"/>
    <w:rsid w:val="00A44248"/>
    <w:rsid w:val="00A45B74"/>
    <w:rsid w:val="00A52E1D"/>
    <w:rsid w:val="00A547AF"/>
    <w:rsid w:val="00A61499"/>
    <w:rsid w:val="00A62A77"/>
    <w:rsid w:val="00A63483"/>
    <w:rsid w:val="00A657D7"/>
    <w:rsid w:val="00A660AC"/>
    <w:rsid w:val="00A67E6C"/>
    <w:rsid w:val="00A70495"/>
    <w:rsid w:val="00A71B99"/>
    <w:rsid w:val="00A72049"/>
    <w:rsid w:val="00A739D0"/>
    <w:rsid w:val="00A761D4"/>
    <w:rsid w:val="00A77EC4"/>
    <w:rsid w:val="00A80E67"/>
    <w:rsid w:val="00A83E9A"/>
    <w:rsid w:val="00A8775E"/>
    <w:rsid w:val="00A915B0"/>
    <w:rsid w:val="00A92879"/>
    <w:rsid w:val="00A9442A"/>
    <w:rsid w:val="00A978F8"/>
    <w:rsid w:val="00AA016F"/>
    <w:rsid w:val="00AA1ED6"/>
    <w:rsid w:val="00AA2A46"/>
    <w:rsid w:val="00AA51D6"/>
    <w:rsid w:val="00AA7B4F"/>
    <w:rsid w:val="00AB0BC8"/>
    <w:rsid w:val="00AB11CA"/>
    <w:rsid w:val="00AB14D9"/>
    <w:rsid w:val="00AB27EE"/>
    <w:rsid w:val="00AB4256"/>
    <w:rsid w:val="00AB4AB8"/>
    <w:rsid w:val="00AB5417"/>
    <w:rsid w:val="00AB655E"/>
    <w:rsid w:val="00AC007F"/>
    <w:rsid w:val="00AC2ECD"/>
    <w:rsid w:val="00AC3119"/>
    <w:rsid w:val="00AC49FB"/>
    <w:rsid w:val="00AC5A10"/>
    <w:rsid w:val="00AC6221"/>
    <w:rsid w:val="00AC71B1"/>
    <w:rsid w:val="00AD0AA3"/>
    <w:rsid w:val="00AD2ED0"/>
    <w:rsid w:val="00AD3F94"/>
    <w:rsid w:val="00AD4A5A"/>
    <w:rsid w:val="00AE0CED"/>
    <w:rsid w:val="00AE27AC"/>
    <w:rsid w:val="00AE40E0"/>
    <w:rsid w:val="00AE4D8C"/>
    <w:rsid w:val="00AE4DBA"/>
    <w:rsid w:val="00AE4F07"/>
    <w:rsid w:val="00AF12A7"/>
    <w:rsid w:val="00AF1C5D"/>
    <w:rsid w:val="00AF3EC5"/>
    <w:rsid w:val="00AF42D7"/>
    <w:rsid w:val="00B006FE"/>
    <w:rsid w:val="00B007CB"/>
    <w:rsid w:val="00B02AA9"/>
    <w:rsid w:val="00B02FA3"/>
    <w:rsid w:val="00B05084"/>
    <w:rsid w:val="00B054EB"/>
    <w:rsid w:val="00B130AA"/>
    <w:rsid w:val="00B14428"/>
    <w:rsid w:val="00B14FF0"/>
    <w:rsid w:val="00B157F9"/>
    <w:rsid w:val="00B20256"/>
    <w:rsid w:val="00B20D09"/>
    <w:rsid w:val="00B228D4"/>
    <w:rsid w:val="00B25551"/>
    <w:rsid w:val="00B262F5"/>
    <w:rsid w:val="00B2763F"/>
    <w:rsid w:val="00B27AAC"/>
    <w:rsid w:val="00B30929"/>
    <w:rsid w:val="00B356B2"/>
    <w:rsid w:val="00B372AA"/>
    <w:rsid w:val="00B40445"/>
    <w:rsid w:val="00B409E0"/>
    <w:rsid w:val="00B41718"/>
    <w:rsid w:val="00B41888"/>
    <w:rsid w:val="00B45A52"/>
    <w:rsid w:val="00B46175"/>
    <w:rsid w:val="00B4682A"/>
    <w:rsid w:val="00B548B7"/>
    <w:rsid w:val="00B664C7"/>
    <w:rsid w:val="00B71078"/>
    <w:rsid w:val="00B739F6"/>
    <w:rsid w:val="00B81A6C"/>
    <w:rsid w:val="00B821F0"/>
    <w:rsid w:val="00B82A37"/>
    <w:rsid w:val="00B858DE"/>
    <w:rsid w:val="00B85DE5"/>
    <w:rsid w:val="00B87CA9"/>
    <w:rsid w:val="00B90F73"/>
    <w:rsid w:val="00B93B59"/>
    <w:rsid w:val="00B9406A"/>
    <w:rsid w:val="00BA2280"/>
    <w:rsid w:val="00BA2A08"/>
    <w:rsid w:val="00BA56D2"/>
    <w:rsid w:val="00BA76E0"/>
    <w:rsid w:val="00BB10A7"/>
    <w:rsid w:val="00BB2A25"/>
    <w:rsid w:val="00BB51E9"/>
    <w:rsid w:val="00BC0FDC"/>
    <w:rsid w:val="00BC3053"/>
    <w:rsid w:val="00BC4D2E"/>
    <w:rsid w:val="00BC7904"/>
    <w:rsid w:val="00BD48AC"/>
    <w:rsid w:val="00BD5F1A"/>
    <w:rsid w:val="00BE1234"/>
    <w:rsid w:val="00BE2980"/>
    <w:rsid w:val="00BE2FA6"/>
    <w:rsid w:val="00BE333F"/>
    <w:rsid w:val="00BE7406"/>
    <w:rsid w:val="00BE7603"/>
    <w:rsid w:val="00BF1521"/>
    <w:rsid w:val="00BF1D90"/>
    <w:rsid w:val="00BF1FD8"/>
    <w:rsid w:val="00BF3279"/>
    <w:rsid w:val="00BF74C7"/>
    <w:rsid w:val="00C015F1"/>
    <w:rsid w:val="00C01F33"/>
    <w:rsid w:val="00C02CC6"/>
    <w:rsid w:val="00C040F7"/>
    <w:rsid w:val="00C044AB"/>
    <w:rsid w:val="00C0530E"/>
    <w:rsid w:val="00C05706"/>
    <w:rsid w:val="00C07377"/>
    <w:rsid w:val="00C10478"/>
    <w:rsid w:val="00C12107"/>
    <w:rsid w:val="00C14D4B"/>
    <w:rsid w:val="00C154BB"/>
    <w:rsid w:val="00C23D77"/>
    <w:rsid w:val="00C279B5"/>
    <w:rsid w:val="00C27C45"/>
    <w:rsid w:val="00C31030"/>
    <w:rsid w:val="00C34626"/>
    <w:rsid w:val="00C3719D"/>
    <w:rsid w:val="00C37CB2"/>
    <w:rsid w:val="00C41BF6"/>
    <w:rsid w:val="00C43373"/>
    <w:rsid w:val="00C473A5"/>
    <w:rsid w:val="00C50ACA"/>
    <w:rsid w:val="00C54995"/>
    <w:rsid w:val="00C54D41"/>
    <w:rsid w:val="00C60783"/>
    <w:rsid w:val="00C64672"/>
    <w:rsid w:val="00C65F92"/>
    <w:rsid w:val="00C70697"/>
    <w:rsid w:val="00C72093"/>
    <w:rsid w:val="00C72EF4"/>
    <w:rsid w:val="00C744FE"/>
    <w:rsid w:val="00C75D2F"/>
    <w:rsid w:val="00C761AB"/>
    <w:rsid w:val="00C767BE"/>
    <w:rsid w:val="00C76E3C"/>
    <w:rsid w:val="00C77C61"/>
    <w:rsid w:val="00C81568"/>
    <w:rsid w:val="00C9027A"/>
    <w:rsid w:val="00C9068E"/>
    <w:rsid w:val="00C9203D"/>
    <w:rsid w:val="00C93814"/>
    <w:rsid w:val="00C93C4B"/>
    <w:rsid w:val="00C944AB"/>
    <w:rsid w:val="00C95B40"/>
    <w:rsid w:val="00C96A3F"/>
    <w:rsid w:val="00CA064B"/>
    <w:rsid w:val="00CA1ED8"/>
    <w:rsid w:val="00CB1F63"/>
    <w:rsid w:val="00CB7170"/>
    <w:rsid w:val="00CC040E"/>
    <w:rsid w:val="00CC111F"/>
    <w:rsid w:val="00CC2011"/>
    <w:rsid w:val="00CC3EA0"/>
    <w:rsid w:val="00CC7B45"/>
    <w:rsid w:val="00CD10CA"/>
    <w:rsid w:val="00CD1188"/>
    <w:rsid w:val="00CD2ED1"/>
    <w:rsid w:val="00CD337B"/>
    <w:rsid w:val="00CE0424"/>
    <w:rsid w:val="00CE0BF7"/>
    <w:rsid w:val="00CE7561"/>
    <w:rsid w:val="00CE7CFD"/>
    <w:rsid w:val="00CF07B1"/>
    <w:rsid w:val="00CF1354"/>
    <w:rsid w:val="00CF13A0"/>
    <w:rsid w:val="00CF247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20D"/>
    <w:rsid w:val="00D16951"/>
    <w:rsid w:val="00D239A7"/>
    <w:rsid w:val="00D23F47"/>
    <w:rsid w:val="00D33295"/>
    <w:rsid w:val="00D337E2"/>
    <w:rsid w:val="00D3563F"/>
    <w:rsid w:val="00D36E71"/>
    <w:rsid w:val="00D37D87"/>
    <w:rsid w:val="00D40B33"/>
    <w:rsid w:val="00D4318F"/>
    <w:rsid w:val="00D438BF"/>
    <w:rsid w:val="00D440F8"/>
    <w:rsid w:val="00D471CF"/>
    <w:rsid w:val="00D5346E"/>
    <w:rsid w:val="00D546FF"/>
    <w:rsid w:val="00D55AD5"/>
    <w:rsid w:val="00D5647C"/>
    <w:rsid w:val="00D575EB"/>
    <w:rsid w:val="00D576CA"/>
    <w:rsid w:val="00D61AF5"/>
    <w:rsid w:val="00D652B5"/>
    <w:rsid w:val="00D66102"/>
    <w:rsid w:val="00D66155"/>
    <w:rsid w:val="00D708B0"/>
    <w:rsid w:val="00D75AA0"/>
    <w:rsid w:val="00D77B1D"/>
    <w:rsid w:val="00D8021F"/>
    <w:rsid w:val="00D80383"/>
    <w:rsid w:val="00D823C6"/>
    <w:rsid w:val="00D8327F"/>
    <w:rsid w:val="00D84871"/>
    <w:rsid w:val="00D86CA3"/>
    <w:rsid w:val="00D871CE"/>
    <w:rsid w:val="00D9196D"/>
    <w:rsid w:val="00D91E2A"/>
    <w:rsid w:val="00D92982"/>
    <w:rsid w:val="00D9677D"/>
    <w:rsid w:val="00DA305E"/>
    <w:rsid w:val="00DA435B"/>
    <w:rsid w:val="00DA5417"/>
    <w:rsid w:val="00DA56E8"/>
    <w:rsid w:val="00DB0A9F"/>
    <w:rsid w:val="00DB0DA8"/>
    <w:rsid w:val="00DB11CC"/>
    <w:rsid w:val="00DB318E"/>
    <w:rsid w:val="00DB377D"/>
    <w:rsid w:val="00DB5B69"/>
    <w:rsid w:val="00DC2D36"/>
    <w:rsid w:val="00DC389D"/>
    <w:rsid w:val="00DC53EF"/>
    <w:rsid w:val="00DD133A"/>
    <w:rsid w:val="00DE4E98"/>
    <w:rsid w:val="00DE5608"/>
    <w:rsid w:val="00DE58D0"/>
    <w:rsid w:val="00DE5B17"/>
    <w:rsid w:val="00DE654F"/>
    <w:rsid w:val="00DF0B6E"/>
    <w:rsid w:val="00DF15E0"/>
    <w:rsid w:val="00DF37A0"/>
    <w:rsid w:val="00E110E7"/>
    <w:rsid w:val="00E11B20"/>
    <w:rsid w:val="00E146E6"/>
    <w:rsid w:val="00E17FA2"/>
    <w:rsid w:val="00E20093"/>
    <w:rsid w:val="00E22330"/>
    <w:rsid w:val="00E25B7E"/>
    <w:rsid w:val="00E30B5A"/>
    <w:rsid w:val="00E3123D"/>
    <w:rsid w:val="00E31461"/>
    <w:rsid w:val="00E31D43"/>
    <w:rsid w:val="00E32608"/>
    <w:rsid w:val="00E33409"/>
    <w:rsid w:val="00E34188"/>
    <w:rsid w:val="00E34B6E"/>
    <w:rsid w:val="00E35559"/>
    <w:rsid w:val="00E3564F"/>
    <w:rsid w:val="00E3723A"/>
    <w:rsid w:val="00E37860"/>
    <w:rsid w:val="00E446F1"/>
    <w:rsid w:val="00E44A1A"/>
    <w:rsid w:val="00E46886"/>
    <w:rsid w:val="00E47AEF"/>
    <w:rsid w:val="00E53B75"/>
    <w:rsid w:val="00E542B6"/>
    <w:rsid w:val="00E54E3B"/>
    <w:rsid w:val="00E57565"/>
    <w:rsid w:val="00E63838"/>
    <w:rsid w:val="00E64434"/>
    <w:rsid w:val="00E67C51"/>
    <w:rsid w:val="00E728A0"/>
    <w:rsid w:val="00E72EFC"/>
    <w:rsid w:val="00E758EC"/>
    <w:rsid w:val="00E8011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AA7"/>
    <w:rsid w:val="00EB4EA2"/>
    <w:rsid w:val="00EC24D5"/>
    <w:rsid w:val="00EC27C6"/>
    <w:rsid w:val="00EC4207"/>
    <w:rsid w:val="00EC5653"/>
    <w:rsid w:val="00EC71CE"/>
    <w:rsid w:val="00ED1006"/>
    <w:rsid w:val="00EE25D0"/>
    <w:rsid w:val="00EF18FE"/>
    <w:rsid w:val="00EF5787"/>
    <w:rsid w:val="00EF5BD9"/>
    <w:rsid w:val="00EF60D0"/>
    <w:rsid w:val="00EF635F"/>
    <w:rsid w:val="00F0528D"/>
    <w:rsid w:val="00F06C67"/>
    <w:rsid w:val="00F06DFD"/>
    <w:rsid w:val="00F071D1"/>
    <w:rsid w:val="00F07533"/>
    <w:rsid w:val="00F10629"/>
    <w:rsid w:val="00F15182"/>
    <w:rsid w:val="00F15BB5"/>
    <w:rsid w:val="00F15FA5"/>
    <w:rsid w:val="00F209B7"/>
    <w:rsid w:val="00F22ABE"/>
    <w:rsid w:val="00F2376F"/>
    <w:rsid w:val="00F243D8"/>
    <w:rsid w:val="00F30828"/>
    <w:rsid w:val="00F313D6"/>
    <w:rsid w:val="00F32BEF"/>
    <w:rsid w:val="00F40F0C"/>
    <w:rsid w:val="00F43AC1"/>
    <w:rsid w:val="00F4766C"/>
    <w:rsid w:val="00F5060E"/>
    <w:rsid w:val="00F50687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6FE"/>
    <w:rsid w:val="00F817CE"/>
    <w:rsid w:val="00F8456C"/>
    <w:rsid w:val="00F855A5"/>
    <w:rsid w:val="00F859D8"/>
    <w:rsid w:val="00F868F5"/>
    <w:rsid w:val="00F9056A"/>
    <w:rsid w:val="00F90F8D"/>
    <w:rsid w:val="00F92782"/>
    <w:rsid w:val="00F92851"/>
    <w:rsid w:val="00F93AA9"/>
    <w:rsid w:val="00F96985"/>
    <w:rsid w:val="00F97838"/>
    <w:rsid w:val="00FA2013"/>
    <w:rsid w:val="00FA2BB3"/>
    <w:rsid w:val="00FB382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8C0"/>
    <w:rsid w:val="00FE2365"/>
    <w:rsid w:val="00FE37D7"/>
    <w:rsid w:val="00FE4C7B"/>
    <w:rsid w:val="00FE7336"/>
    <w:rsid w:val="00FE787C"/>
    <w:rsid w:val="00FE7FD8"/>
    <w:rsid w:val="00FF45A5"/>
    <w:rsid w:val="00FF5C91"/>
    <w:rsid w:val="00FF78BE"/>
    <w:rsid w:val="070D15F4"/>
    <w:rsid w:val="08437AA5"/>
    <w:rsid w:val="1AC26D62"/>
    <w:rsid w:val="20A8B28F"/>
    <w:rsid w:val="6BA50E15"/>
    <w:rsid w:val="782E2028"/>
    <w:rsid w:val="7A5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Links>
    <vt:vector size="36" baseType="variant">
      <vt:variant>
        <vt:i4>1966143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_Toc528927059</vt:lpwstr>
      </vt:variant>
      <vt:variant>
        <vt:i4>1835071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_Toc528927076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_Toc528927075</vt:lpwstr>
      </vt:variant>
      <vt:variant>
        <vt:i4>1835071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_Toc528927074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_Toc528927073</vt:lpwstr>
      </vt:variant>
      <vt:variant>
        <vt:i4>1835071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_Toc528927072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2018-11-02T18:57:00Z</dcterms:created>
  <dcterms:modified xsi:type="dcterms:W3CDTF">2018-11-02T18:57:00Z</dcterms:modified>
  <cp:category/>
</cp:coreProperties>
</file>